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eg" ContentType="image/jpeg"/>
  <Default Extension="tmp" ContentType="image/png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ackground w:color="ffffff"/>
  <w:body>
    <w:p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sz w:val="20"/>
          <w:szCs w:val="20"/>
        </w:rPr>
        <w:drawing xmlns:mc="http://schemas.openxmlformats.org/markup-compatibility/2006">
          <wp:anchor allowOverlap="1" behindDoc="1" distT="0" distB="0" distL="114300" distR="114300" layoutInCell="1" locked="0" relativeHeight="251657216" simplePos="0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bCs/>
          <w:color w:val="44546a" w:themeColor="text2"/>
          <w:lang w:eastAsia="es-MX"/>
        </w:rPr>
        <w:drawing xmlns:mc="http://schemas.openxmlformats.org/markup-compatibility/2006">
          <wp:anchor allowOverlap="1" behindDoc="1" distT="0" distB="0" distL="114300" distR="114300" layoutInCell="1" locked="0" relativeHeight="251654144" simplePos="0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bCs/>
          <w:color w:val="44546a" w:themeColor="text2"/>
        </w:rPr>
        <w:t xml:space="preserve"> </w:t>
      </w:r>
      <w:r>
        <w:rPr>
          <w:rFonts w:ascii="Tw Cen MT" w:hAnsi="Tw Cen MT"/>
          <w:b/>
          <w:bCs/>
          <w:color w:val="44546a" w:themeColor="text2"/>
        </w:rPr>
        <w:t xml:space="preserve"> </w:t>
      </w:r>
      <w:r>
        <w:rPr>
          <w:rFonts w:ascii="Tw Cen MT" w:hAnsi="Tw Cen MT"/>
          <w:b/>
          <w:bCs/>
          <w:color w:val="44546a" w:themeColor="text2"/>
        </w:rPr>
        <w:t>SEMANA DEL</w:t>
      </w:r>
      <w:r>
        <w:rPr>
          <w:rFonts w:ascii="Tw Cen MT" w:hAnsi="Tw Cen MT"/>
          <w:b/>
          <w:bCs/>
          <w:color w:val="44546a" w:themeColor="text2"/>
        </w:rPr>
        <w:t xml:space="preserve"> </w:t>
      </w:r>
      <w:r>
        <w:rPr>
          <w:rFonts w:ascii="Tw Cen MT" w:hAnsi="Tw Cen MT"/>
          <w:b/>
          <w:bCs/>
          <w:color w:val="44546a" w:themeColor="text2"/>
        </w:rPr>
        <w:t xml:space="preserve">13 DE DICIEMBRE AL 17 DE DICIEMBRE </w:t>
      </w:r>
      <w:r>
        <w:rPr>
          <w:rFonts w:ascii="Tw Cen MT" w:hAnsi="Tw Cen MT"/>
          <w:b/>
          <w:bCs/>
          <w:color w:val="44546a" w:themeColor="text2"/>
        </w:rPr>
        <w:t>DE 2021</w:t>
      </w:r>
    </w:p>
    <w:p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>
        <w:rPr>
          <w:rFonts w:ascii="Tw Cen MT" w:hAnsi="Tw Cen MT"/>
          <w:color w:val="7f7f7f" w:themeColor="text1" w:themeTint="80"/>
        </w:rPr>
        <w:t>TERCER</w:t>
      </w:r>
      <w:r>
        <w:rPr>
          <w:rFonts w:ascii="Tw Cen MT" w:hAnsi="Tw Cen MT"/>
          <w:color w:val="7f7f7f" w:themeColor="text1" w:themeTint="80"/>
        </w:rPr>
        <w:t xml:space="preserve"> GRADO</w:t>
      </w:r>
    </w:p>
    <w:p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>
      <w:pPr>
        <w:spacing w:after="0"/>
        <w:jc w:val="center"/>
        <w:rPr>
          <w:rFonts w:ascii="Tw Cen MT" w:hAnsi="Tw Cen MT"/>
        </w:rPr>
      </w:pPr>
    </w:p>
    <w:p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eGrid"/>
        <w:tblW w:w="12512" w:type="dxa"/>
        <w:jc w:val="center"/>
        <w:tblBorders>
          <w:top w:val="dashSmallGap" w:color="auto" w:sz="4" w:space="0"/>
          <w:left w:val="dashSmallGap" w:color="auto" w:sz="4" w:space="0"/>
          <w:bottom w:val="dashSmallGap" w:color="auto" w:sz="4" w:space="0"/>
          <w:right w:val="dashSmallGap" w:color="auto" w:sz="4" w:space="0"/>
          <w:insideH w:val="dashSmallGap" w:color="auto" w:sz="4" w:space="0"/>
          <w:insideV w:val="dashSmallGap" w:color="auto" w:sz="4" w:space="0"/>
        </w:tblBorders>
        <w:tblLayout w:type="fixed"/>
        <w:tblLook w:val="04A0"/>
      </w:tblPr>
      <w:tblGrid>
        <w:gridCol w:w="468"/>
        <w:gridCol w:w="1270"/>
        <w:gridCol w:w="2694"/>
        <w:gridCol w:w="5887"/>
        <w:gridCol w:w="2193"/>
      </w:tblGrid>
      <w:tr>
        <w:trPr>
          <w:trHeight w:val="230"/>
          <w:jc w:val="center"/>
        </w:trPr>
        <w:tc>
          <w:tcPr>
            <w:cnfStyle w:val="101000000000"/>
            <w:tcW w:w="468" w:type="dxa"/>
            <w:tcBorders>
              <w:top w:val="nil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100000000000"/>
            <w:tcW w:w="1270" w:type="dxa"/>
            <w:tcBorders>
              <w:left w:val="dashSmallGap" w:color="auto" w:sz="4" w:space="0"/>
              <w:bottom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cnfStyle w:val="100000000000"/>
            <w:tcW w:w="2694" w:type="dxa"/>
            <w:tcBorders>
              <w:bottom w:val="dashSmallGap" w:color="auto" w:sz="4" w:space="0"/>
            </w:tcBorders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100000000000"/>
            <w:tcW w:w="5887" w:type="dxa"/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100000000000"/>
            <w:tcW w:w="2193" w:type="dxa"/>
            <w:shd w:val="clear" w:color="auto" w:fill="ed7d31" w:themeFill="accent2"/>
            <w:vAlign w:val="center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>
        <w:trPr>
          <w:cantSplit w:val="on"/>
          <w:trHeight w:val="1301"/>
          <w:jc w:val="center"/>
        </w:trPr>
        <w:tc>
          <w:tcPr>
            <w:cnfStyle w:val="001000100000"/>
            <w:tcW w:w="468" w:type="dxa"/>
            <w:vMerge w:val="restart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cnfStyle w:val="000000100000"/>
            <w:tcW w:w="1270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hAnsi="Tw Cen MT"/>
              </w:rPr>
              <w:t>Educación Socioemocional</w:t>
            </w:r>
          </w:p>
        </w:tc>
        <w:tc>
          <w:tcPr>
            <w:cnfStyle w:val="000000100000"/>
            <w:tcW w:w="2694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hAnsi="Tw Cen MT"/>
                <w:sz w:val="20"/>
              </w:rPr>
              <w:t>Acuerda acciones necesarias para mejorar el estado emocional personal y de quienes le rodean.</w:t>
            </w:r>
            <w:r>
              <w:t>.</w:t>
            </w:r>
          </w:p>
        </w:tc>
        <w:tc>
          <w:tcPr>
            <w:cnfStyle w:val="000000100000"/>
            <w:tcW w:w="5887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Evaluó mis emociones…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2724150" cy="1819275"/>
                  <wp:effectExtent l="0" t="0" r="0" b="0"/>
                  <wp:docPr id="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w Cen MT" w:cstheme="minorHAnsi" w:hAnsi="Tw Cen MT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cnfStyle w:val="000000100000"/>
            <w:tcW w:w="2193" w:type="dxa"/>
            <w:vMerge w:val="restart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rPr>
          <w:cantSplit w:val="on"/>
          <w:trHeight w:val="1068"/>
          <w:jc w:val="center"/>
        </w:trPr>
        <w:tc>
          <w:tcPr>
            <w:cnfStyle w:val="001000010000"/>
            <w:tcW w:w="468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270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Ciencias Naturales</w:t>
            </w:r>
          </w:p>
        </w:tc>
        <w:tc>
          <w:tcPr>
            <w:cnfStyle w:val="000000010000"/>
            <w:tcW w:w="2694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="Arial MT" w:eastAsia="Arial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Identifica la respiración en animales, las estructuras asociadas y su relación con el medio natural en el que viven.</w:t>
            </w:r>
          </w:p>
        </w:tc>
        <w:tc>
          <w:tcPr>
            <w:cnfStyle w:val="000000010000"/>
            <w:tcW w:w="5887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responde en tu cuaderno: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respiran los animales que viven en el agua?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¿y los que viven bajo tierra?</w:t>
            </w:r>
          </w:p>
          <w:p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>
            <w:pPr>
              <w:rPr>
                <w:rFonts w:ascii="Tw Cen MT" w:cstheme="minorHAnsi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la página 50 y 51 de tu libro de ciencias. </w:t>
            </w:r>
          </w:p>
        </w:tc>
        <w:tc>
          <w:tcPr>
            <w:cnfStyle w:val="000000010000"/>
            <w:tcW w:w="2193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1068"/>
          <w:jc w:val="center"/>
        </w:trPr>
        <w:tc>
          <w:tcPr>
            <w:cnfStyle w:val="001000100000"/>
            <w:tcW w:w="468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270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hAnsi="Tw Cen MT"/>
              </w:rPr>
              <w:t>Lengua materna</w:t>
            </w:r>
          </w:p>
          <w:p>
            <w:pPr>
              <w:rPr>
                <w:rFonts w:ascii="Tw Cen MT" w:cstheme="minorHAnsi" w:eastAsia="Arial MT" w:hAnsi="Tw Cen MT"/>
              </w:rPr>
            </w:pPr>
          </w:p>
        </w:tc>
        <w:tc>
          <w:tcPr>
            <w:cnfStyle w:val="000000100000"/>
            <w:tcW w:w="2694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r>
              <w:t xml:space="preserve">Sigue un instructivo sencillo para la elaboración de un juguete. </w:t>
            </w:r>
            <w:r>
              <w:t xml:space="preserve"> </w:t>
            </w:r>
          </w:p>
        </w:tc>
        <w:tc>
          <w:tcPr>
            <w:cnfStyle w:val="000000100000"/>
            <w:tcW w:w="5887" w:type="dxa"/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hAnsi="Tw Cen MT"/>
              </w:rPr>
              <w:t xml:space="preserve">Usa los verbos en modo imperativo </w:t>
            </w:r>
            <w:r>
              <w:rPr>
                <w:rFonts w:ascii="Tw Cen MT" w:cstheme="minorHAnsi" w:hAnsi="Tw Cen MT"/>
              </w:rPr>
              <w:t xml:space="preserve">para completar las instrucciones. </w:t>
            </w:r>
          </w:p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hAnsi="Tw Cen MT"/>
              </w:rPr>
              <w:drawing xmlns:mc="http://schemas.openxmlformats.org/markup-compatibility/2006">
                <wp:inline distT="0" distB="0" distL="0" distR="0">
                  <wp:extent cx="3601085" cy="2326640"/>
                  <wp:effectExtent l="0" t="0" r="0" b="0"/>
                  <wp:docPr id="2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8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cstheme="minorHAnsi" w:hAnsi="Tw Cen MT"/>
              </w:rPr>
            </w:pPr>
          </w:p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hAnsi="Tw Cen MT"/>
              </w:rPr>
              <w:t xml:space="preserve">Analiza la pagina </w:t>
            </w:r>
            <w:r>
              <w:rPr>
                <w:rFonts w:ascii="Tw Cen MT" w:cstheme="minorHAnsi" w:hAnsi="Tw Cen MT"/>
              </w:rPr>
              <w:t>80 y 81 del libro de español.</w:t>
            </w:r>
          </w:p>
        </w:tc>
        <w:tc>
          <w:tcPr>
            <w:cnfStyle w:val="000000100000"/>
            <w:tcW w:w="2193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1068"/>
          <w:jc w:val="center"/>
        </w:trPr>
        <w:tc>
          <w:tcPr>
            <w:cnfStyle w:val="001000010000"/>
            <w:tcW w:w="468" w:type="dxa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270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hAnsi="Tw Cen MT"/>
              </w:rPr>
              <w:t>Vida saludable</w:t>
            </w:r>
          </w:p>
        </w:tc>
        <w:tc>
          <w:tcPr>
            <w:cnfStyle w:val="000000010000"/>
            <w:tcW w:w="2694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r>
              <w:t>Consume alimentos frescos de la región e identifica cómo esta práctica beneficia al medioambiente.</w:t>
            </w:r>
          </w:p>
        </w:tc>
        <w:tc>
          <w:tcPr>
            <w:cnfStyle w:val="000000010000"/>
            <w:tcW w:w="5887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basura orgánica?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basura inorgánica?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Haz una lista de basura orgánica e inorgánica. 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cnfStyle w:val="000000010000"/>
            <w:tcW w:w="2193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>
      <w:pPr>
        <w:jc w:val="center"/>
        <w:rPr>
          <w:rFonts w:ascii="Tw Cen MT" w:hAnsi="Tw Cen MT"/>
        </w:rPr>
      </w:pPr>
    </w:p>
    <w:tbl>
      <w:tblPr>
        <w:tblStyle w:val="TableGrid"/>
        <w:tblW w:w="12394" w:type="dxa"/>
        <w:jc w:val="center"/>
        <w:tblBorders>
          <w:top w:val="dashSmallGap" w:color="auto" w:sz="4" w:space="0"/>
          <w:left w:val="dashSmallGap" w:color="auto" w:sz="4" w:space="0"/>
          <w:bottom w:val="dashSmallGap" w:color="auto" w:sz="4" w:space="0"/>
          <w:right w:val="dashSmallGap" w:color="auto" w:sz="4" w:space="0"/>
          <w:insideH w:val="dashSmallGap" w:color="auto" w:sz="4" w:space="0"/>
          <w:insideV w:val="dashSmallGap" w:color="auto" w:sz="4" w:space="0"/>
        </w:tblBorders>
        <w:tblLook w:val="04A0"/>
      </w:tblPr>
      <w:tblGrid>
        <w:gridCol w:w="469"/>
        <w:gridCol w:w="1554"/>
        <w:gridCol w:w="2579"/>
        <w:gridCol w:w="6336"/>
        <w:gridCol w:w="1456"/>
      </w:tblGrid>
      <w:tr>
        <w:trPr>
          <w:trHeight w:val="230"/>
          <w:jc w:val="center"/>
        </w:trPr>
        <w:tc>
          <w:tcPr>
            <w:cnfStyle w:val="101000000000"/>
            <w:tcW w:w="469" w:type="dxa"/>
            <w:tcBorders>
              <w:top w:val="nil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100000000000"/>
            <w:tcW w:w="1555" w:type="dxa"/>
            <w:tcBorders>
              <w:left w:val="dashSmallGap" w:color="auto" w:sz="4" w:space="0"/>
              <w:bottom w:val="dashSmallGap" w:color="auto" w:sz="4" w:space="0"/>
            </w:tcBorders>
            <w:shd w:val="clear" w:color="auto" w:fill="ffc000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100000000000"/>
            <w:tcW w:w="2750" w:type="dxa"/>
            <w:tcBorders>
              <w:bottom w:val="dashSmallGap" w:color="auto" w:sz="4" w:space="0"/>
            </w:tcBorders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100000000000"/>
            <w:tcW w:w="6126" w:type="dxa"/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100000000000"/>
            <w:tcW w:w="1494" w:type="dxa"/>
            <w:shd w:val="clear" w:color="auto" w:fill="ffc000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983"/>
          <w:jc w:val="center"/>
        </w:trPr>
        <w:tc>
          <w:tcPr>
            <w:cnfStyle w:val="001000100000"/>
            <w:tcW w:w="469" w:type="dxa"/>
            <w:vMerge w:val="restart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6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Lengua materna</w:t>
            </w:r>
          </w:p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</w:p>
        </w:tc>
        <w:tc>
          <w:tcPr>
            <w:cnfStyle w:val="00000010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hAnsi="Tw Cen MT"/>
              </w:rPr>
            </w:pPr>
            <w:r>
              <w:t xml:space="preserve"> </w:t>
            </w:r>
          </w:p>
          <w:p>
            <w:pPr>
              <w:pStyle w:val="Default"/>
              <w:rPr>
                <w:rFonts w:ascii="Tw Cen MT" w:cstheme="minorHAnsi" w:hAnsi="Tw Cen MT"/>
                <w:sz w:val="22"/>
                <w:szCs w:val="22"/>
              </w:rPr>
            </w:pPr>
            <w:r>
              <w:t xml:space="preserve">Sigue un instructivo sencillo para la elaboración de un juguete.  </w:t>
            </w:r>
          </w:p>
        </w:tc>
        <w:tc>
          <w:tcPr>
            <w:cnfStyle w:val="000000100000"/>
            <w:tcW w:w="6126" w:type="dxa"/>
          </w:tcPr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Numera de</w:t>
            </w:r>
            <w:r>
              <w:rPr>
                <w:rFonts w:ascii="Tw Cen MT" w:hAnsi="Tw Cen MT"/>
              </w:rPr>
              <w:t>l</w:t>
            </w:r>
            <w:r>
              <w:rPr>
                <w:rFonts w:ascii="Tw Cen MT" w:hAnsi="Tw Cen MT"/>
              </w:rPr>
              <w:t xml:space="preserve"> 1 a</w:t>
            </w:r>
            <w:r>
              <w:rPr>
                <w:rFonts w:ascii="Tw Cen MT" w:hAnsi="Tw Cen MT"/>
              </w:rPr>
              <w:t>l</w:t>
            </w:r>
            <w:r>
              <w:rPr>
                <w:rFonts w:ascii="Tw Cen MT" w:hAnsi="Tw Cen MT"/>
              </w:rPr>
              <w:t xml:space="preserve"> 3 los pasos del instructivo. </w:t>
            </w:r>
          </w:p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drawing xmlns:mc="http://schemas.openxmlformats.org/markup-compatibility/2006">
                <wp:inline distT="0" distB="0" distL="0" distR="0">
                  <wp:extent cx="3886201" cy="1689950"/>
                  <wp:effectExtent l="0" t="0" r="0" b="0"/>
                  <wp:docPr id="2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1" cy="168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la pagina 83 </w:t>
            </w:r>
            <w:r>
              <w:rPr>
                <w:rFonts w:ascii="Tw Cen MT" w:hAnsi="Tw Cen MT"/>
              </w:rPr>
              <w:t>del libro de español.</w:t>
            </w:r>
          </w:p>
        </w:tc>
        <w:tc>
          <w:tcPr>
            <w:cnfStyle w:val="000000100000"/>
            <w:tcW w:w="1494" w:type="dxa"/>
            <w:vMerge w:val="restart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rPr>
          <w:cantSplit w:val="on"/>
          <w:trHeight w:val="499"/>
          <w:jc w:val="center"/>
        </w:trPr>
        <w:tc>
          <w:tcPr>
            <w:cnfStyle w:val="00100001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single" w:color="000000" w:sz="6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</w:t>
            </w:r>
            <w:r>
              <w:rPr>
                <w:rFonts w:ascii="Tw Cen MT" w:hAnsi="Tw Cen MT"/>
              </w:rPr>
              <w:t>Matemáticas</w:t>
            </w:r>
          </w:p>
        </w:tc>
        <w:tc>
          <w:tcPr>
            <w:cnfStyle w:val="00000001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Default"/>
              <w:rPr>
                <w:rFonts w:ascii="Tw Cen MT" w:cstheme="minorHAnsi" w:hAnsi="Tw Cen MT"/>
                <w:sz w:val="22"/>
                <w:szCs w:val="22"/>
              </w:rPr>
            </w:pPr>
            <w:r>
              <w:t>Relación de la escritura de los números con cifras y su nombre, a través de su descomposición aditiva.</w:t>
            </w:r>
          </w:p>
        </w:tc>
        <w:tc>
          <w:tcPr>
            <w:cnfStyle w:val="000000010000"/>
            <w:tcW w:w="6126" w:type="dxa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Une con una línea el número, la descomposición aditiva  y la escritura con letra que corresponde.</w:t>
            </w:r>
          </w:p>
          <w:p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686175" cy="1571625"/>
                  <wp:effectExtent l="0" t="0" r="0" b="0"/>
                  <wp:docPr id="2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Resuelve la página 49 y 50 de tu libro de matemáticas. </w:t>
            </w:r>
          </w:p>
        </w:tc>
        <w:tc>
          <w:tcPr>
            <w:cnfStyle w:val="000000010000"/>
            <w:tcW w:w="149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499"/>
          <w:jc w:val="center"/>
        </w:trPr>
        <w:tc>
          <w:tcPr>
            <w:cnfStyle w:val="00100010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6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both"/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Formación cívica </w:t>
            </w:r>
          </w:p>
        </w:tc>
        <w:tc>
          <w:tcPr>
            <w:cnfStyle w:val="00000010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Default"/>
              <w:rPr/>
            </w:pPr>
            <w:r>
              <w:rPr>
                <w:rFonts w:ascii="Tw Cen MT" w:hAnsi="Tw Cen MT"/>
                <w:sz w:val="20"/>
              </w:rPr>
              <w:t>Reconoce la diversidad étnica, social, cultural, lingüística, de capacidades y de género en su entorno, y se relaciona con las personas y la naturaleza con respeto y empatía.</w:t>
            </w:r>
          </w:p>
        </w:tc>
        <w:tc>
          <w:tcPr>
            <w:cnfStyle w:val="000000100000"/>
            <w:tcW w:w="6126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respetar la diversidad cultural, étnica, lingüística en nuestro país?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cartel donde plasmes la importancia de respetar la diversidad de culturas de nuestro país. </w:t>
            </w:r>
          </w:p>
          <w:p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>
            <w:pPr>
              <w:rPr>
                <w:rFonts w:ascii="Tw Cen MT" w:cs="ITCFranklinGothicStd-Demi" w:hAnsi="Tw Cen MT"/>
                <w:sz w:val="20"/>
                <w:szCs w:val="24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pagina 52 y 53 de tu libro de formación. </w:t>
            </w:r>
          </w:p>
        </w:tc>
        <w:tc>
          <w:tcPr>
            <w:cnfStyle w:val="000000100000"/>
            <w:tcW w:w="149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3036"/>
          <w:jc w:val="center"/>
        </w:trPr>
        <w:tc>
          <w:tcPr>
            <w:cnfStyle w:val="001000010000"/>
            <w:tcW w:w="469" w:type="dxa"/>
            <w:vMerge w:val="continue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</w:t>
            </w:r>
          </w:p>
          <w:p>
            <w:pPr>
              <w:jc w:val="both"/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>Ciencias Naturales</w:t>
            </w:r>
          </w:p>
        </w:tc>
        <w:tc>
          <w:tcPr>
            <w:cnfStyle w:val="000000010000"/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jc w:val="both"/>
              <w:rPr/>
            </w:pPr>
          </w:p>
          <w:p>
            <w:pPr>
              <w:jc w:val="both"/>
              <w:rPr/>
            </w:pPr>
            <w:r>
              <w:t>Identifica distintas formas de nutrición de plantas y animales y su relación con el medio natural.</w:t>
            </w:r>
          </w:p>
          <w:p>
            <w:pPr>
              <w:jc w:val="both"/>
              <w:rPr/>
            </w:pPr>
          </w:p>
        </w:tc>
        <w:tc>
          <w:tcPr>
            <w:cnfStyle w:val="000000010000"/>
            <w:tcW w:w="6126" w:type="dxa"/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y escribe en tu cuaderno ¿Qué animales respiran por la piel? 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cuaderno.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267075" cy="2524125"/>
                  <wp:effectExtent l="0" t="0" r="0" b="0"/>
                  <wp:docPr id="2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cnfStyle w:val="000000010000"/>
            <w:tcW w:w="1494" w:type="dxa"/>
            <w:vMerge w:val="continue"/>
            <w:shd w:val="clear" w:color="auto" w:fill="auto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trHeight w:val="230"/>
          <w:jc w:val="center"/>
        </w:trPr>
        <w:tc>
          <w:tcPr>
            <w:cnfStyle w:val="001000100000"/>
            <w:tcW w:w="469" w:type="dxa"/>
            <w:tcBorders>
              <w:top w:val="nil" w:sz="4" w:space="0"/>
              <w:left w:val="nil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  <w:p>
            <w:pPr>
              <w:rPr>
                <w:rFonts w:ascii="Tw Cen MT" w:hAnsi="Tw Cen MT"/>
              </w:rPr>
            </w:pP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00000010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000000100000"/>
            <w:tcW w:w="612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000000100000"/>
            <w:tcW w:w="1494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604"/>
          <w:jc w:val="center"/>
        </w:trPr>
        <w:tc>
          <w:tcPr>
            <w:cnfStyle w:val="001000010000"/>
            <w:tcW w:w="469" w:type="dxa"/>
            <w:vMerge w:val="restart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single" w:color="000000" w:sz="7" w:space="0"/>
              <w:bottom w:val="single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  <w:sz w:val="20"/>
              </w:rPr>
            </w:pPr>
            <w:r>
              <w:rPr>
                <w:rFonts w:ascii="Tw Cen MT" w:cs="Arial MT" w:eastAsia="Arial MT" w:hAnsi="Tw Cen MT"/>
                <w:sz w:val="20"/>
                <w:szCs w:val="20"/>
              </w:rPr>
              <w:t xml:space="preserve"> </w:t>
            </w:r>
          </w:p>
          <w:p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</w:rPr>
              <w:t>Matemáticas</w:t>
            </w:r>
          </w:p>
          <w:p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cnfStyle w:val="000000010000"/>
            <w:tcW w:w="2750" w:type="dxa"/>
            <w:tcBorders>
              <w:top w:val="dashSmallGap" w:color="auto" w:sz="4" w:space="0"/>
              <w:left w:val="single" w:color="000000" w:sz="7" w:space="0"/>
              <w:bottom w:val="single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</w:rPr>
              <w:t>Resolución de multiplicaciones cuyo producto sea hasta del orden de las centenas, mediante diversos procedimientos (como suma de multiplicaciones parciales, multiplicaciones por 10, 20, 30, etcétera).</w:t>
            </w:r>
          </w:p>
        </w:tc>
        <w:tc>
          <w:tcPr>
            <w:cnfStyle w:val="000000010000"/>
            <w:tcW w:w="6126" w:type="dxa"/>
            <w:tcBorders>
              <w:top w:val="dashSmallGap" w:color="auto" w:sz="4" w:space="0"/>
              <w:left w:val="single" w:color="000000" w:sz="7" w:space="0"/>
              <w:bottom w:val="single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problemas.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600450" cy="1228725"/>
                  <wp:effectExtent l="0" t="0" r="0" b="0"/>
                  <wp:docPr id="2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10000"/>
            <w:tcW w:w="1494" w:type="dxa"/>
            <w:tcBorders>
              <w:top w:val="dashSmallGap" w:color="auto" w:sz="4" w:space="0"/>
              <w:bottom w:val="single" w:color="auto" w:sz="4" w:space="0"/>
            </w:tcBorders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394"/>
          <w:jc w:val="center"/>
        </w:trPr>
        <w:tc>
          <w:tcPr>
            <w:cnfStyle w:val="001000100000"/>
            <w:tcW w:w="469" w:type="dxa"/>
            <w:vMerge w:val="continue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55" w:type="dxa"/>
            <w:tcBorders>
              <w:top w:val="single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  <w:sz w:val="20"/>
                <w:szCs w:val="20"/>
              </w:rPr>
            </w:pPr>
            <w:r>
              <w:rPr>
                <w:rFonts w:ascii="Tw Cen MT" w:hAnsi="Tw Cen MT"/>
              </w:rPr>
              <w:t>Ciencias Naturales</w:t>
            </w:r>
          </w:p>
        </w:tc>
        <w:tc>
          <w:tcPr>
            <w:cnfStyle w:val="000000100000"/>
            <w:tcW w:w="2750" w:type="dxa"/>
            <w:tcBorders>
              <w:top w:val="single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t>Identifica la respiración en animales, las estructuras asociadas y su relación con el medio natural en el que viven.</w:t>
            </w:r>
          </w:p>
        </w:tc>
        <w:tc>
          <w:tcPr>
            <w:cnfStyle w:val="000000100000"/>
            <w:tcW w:w="6126" w:type="dxa"/>
            <w:tcBorders>
              <w:top w:val="single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escribe en tu cuaderno: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animales respiran por tráqueas?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animales respiran por las branquias?</w:t>
            </w:r>
          </w:p>
        </w:tc>
        <w:tc>
          <w:tcPr>
            <w:cnfStyle w:val="000000100000"/>
            <w:tcW w:w="1494" w:type="dxa"/>
            <w:vMerge w:val="restart"/>
            <w:tcBorders>
              <w:top w:val="single" w:color="auto" w:sz="4" w:space="0"/>
            </w:tcBorders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530"/>
          <w:jc w:val="center"/>
        </w:trPr>
        <w:tc>
          <w:tcPr>
            <w:cnfStyle w:val="001000010000"/>
            <w:tcW w:w="469" w:type="dxa"/>
            <w:vMerge w:val="continue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</w:rPr>
              <w:t>Lengua materna</w:t>
            </w:r>
          </w:p>
        </w:tc>
        <w:tc>
          <w:tcPr>
            <w:cnfStyle w:val="000000010000"/>
            <w:tcW w:w="2750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t xml:space="preserve">Sigue un instructivo sencillo para la elaboración de un juguete.  </w:t>
            </w:r>
          </w:p>
        </w:tc>
        <w:tc>
          <w:tcPr>
            <w:cnfStyle w:val="000000010000"/>
            <w:tcW w:w="6126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el nombre de cada parte del instructivo donde corresponde. 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drawing xmlns:mc="http://schemas.openxmlformats.org/markup-compatibility/2006">
                <wp:inline distT="0" distB="0" distL="0" distR="0">
                  <wp:extent cx="3200552" cy="2467465"/>
                  <wp:effectExtent l="0" t="0" r="0" b="0"/>
                  <wp:docPr id="2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52" cy="246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Realiza la pagina 84 del libro de español.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cnfStyle w:val="000000010000"/>
            <w:tcW w:w="1494" w:type="dxa"/>
            <w:vMerge w:val="continue"/>
            <w:tcBorders>
              <w:top w:val="single" w:color="auto" w:sz="4" w:space="0"/>
            </w:tcBorders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530"/>
          <w:jc w:val="center"/>
        </w:trPr>
        <w:tc>
          <w:tcPr>
            <w:cnfStyle w:val="001000100000"/>
            <w:tcW w:w="469" w:type="dxa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cnfStyle w:val="000000100000"/>
            <w:tcW w:w="2750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t>Reconoce las diversidades étnicas, sociales, culturales, lingüísticas, de capacidades y de género en su entorno, y se relaciona con las personas y la naturaleza con respeto y empatía (3°).</w:t>
            </w:r>
          </w:p>
        </w:tc>
        <w:tc>
          <w:tcPr>
            <w:cnfStyle w:val="000000100000"/>
            <w:tcW w:w="6126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que lenguas existen en tu país y haz un listado con ellas en tu cuaderno, también escribe donde se hablan.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MediumGrid1Accent2"/>
              <w:tblW w:w="0" w:type="auto"/>
              <w:tblLook w:val="04A0"/>
            </w:tblPr>
            <w:tblGrid>
              <w:gridCol w:w="2527"/>
              <w:gridCol w:w="2528"/>
            </w:tblGrid>
            <w:tr>
              <w:trPr>
                <w:cnfStyle w:val="100000000000"/>
              </w:trPr>
              <w:tc>
                <w:tcPr>
                  <w:cnfStyle w:val="101000000000"/>
                  <w:tcW w:w="2527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b w:val="off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off"/>
                      <w:sz w:val="20"/>
                      <w:szCs w:val="20"/>
                    </w:rPr>
                    <w:t>¿Qué lengua es?</w:t>
                  </w:r>
                </w:p>
              </w:tc>
              <w:tc>
                <w:tcPr>
                  <w:cnfStyle w:val="100000000000"/>
                  <w:tcW w:w="2528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b w:val="off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off"/>
                      <w:sz w:val="20"/>
                      <w:szCs w:val="20"/>
                    </w:rPr>
                    <w:t>¿Dónde se habla?</w:t>
                  </w:r>
                </w:p>
              </w:tc>
            </w:tr>
            <w:tr>
              <w:trPr>
                <w:cnfStyle w:val="000000100000"/>
              </w:trPr>
              <w:tc>
                <w:tcPr>
                  <w:cnfStyle w:val="001000100000"/>
                  <w:tcW w:w="2527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b w:val="off"/>
                      <w:sz w:val="20"/>
                      <w:szCs w:val="20"/>
                    </w:rPr>
                  </w:pPr>
                </w:p>
              </w:tc>
              <w:tc>
                <w:tcPr>
                  <w:cnfStyle w:val="000000100000"/>
                  <w:tcW w:w="2528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>
              <w:trPr/>
              <w:tc>
                <w:tcPr>
                  <w:cnfStyle w:val="001000010000"/>
                  <w:tcW w:w="2527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cnfStyle w:val="000000010000"/>
                  <w:tcW w:w="2528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>
              <w:trPr>
                <w:cnfStyle w:val="000000100000"/>
              </w:trPr>
              <w:tc>
                <w:tcPr>
                  <w:cnfStyle w:val="001000100000"/>
                  <w:tcW w:w="2527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b w:val="off"/>
                      <w:bCs w:val="off"/>
                      <w:sz w:val="20"/>
                      <w:szCs w:val="20"/>
                    </w:rPr>
                  </w:pPr>
                </w:p>
                <w:p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cnfStyle w:val="000000100000"/>
                  <w:tcW w:w="2528" w:type="dxa"/>
                  <w:tcBorders>
                    <w:top w:val="single" w:color="f19e65" w:themeColor="accent2" w:themeTint="bf" w:sz="8" w:space="0"/>
                    <w:left w:val="single" w:color="f19e65" w:themeColor="accent2" w:themeTint="bf" w:sz="8" w:space="0"/>
                    <w:bottom w:val="single" w:color="f19e65" w:themeColor="accent2" w:themeTint="bf" w:sz="8" w:space="0"/>
                    <w:right w:val="single" w:color="f19e65" w:themeColor="accent2" w:themeTint="bf" w:sz="8" w:space="0"/>
                  </w:tcBorders>
                </w:tcPr>
                <w:p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>
            <w:pPr>
              <w:jc w:val="both"/>
              <w:rPr>
                <w:rFonts w:ascii="Tw Cen MT" w:hAnsi="Tw Cen MT"/>
                <w:u w:val="single"/>
              </w:rPr>
            </w:pPr>
          </w:p>
          <w:p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u w:val="single"/>
              </w:rPr>
              <w:t xml:space="preserve">Realiza la pagina 54 </w:t>
            </w:r>
            <w:r>
              <w:rPr>
                <w:rFonts w:ascii="Tw Cen MT" w:hAnsi="Tw Cen MT"/>
                <w:u w:val="single"/>
              </w:rPr>
              <w:t xml:space="preserve">y 55 </w:t>
            </w:r>
            <w:r>
              <w:rPr>
                <w:rFonts w:ascii="Tw Cen MT" w:hAnsi="Tw Cen MT"/>
                <w:u w:val="single"/>
              </w:rPr>
              <w:t xml:space="preserve">del libro de formación. </w:t>
            </w:r>
          </w:p>
        </w:tc>
        <w:tc>
          <w:tcPr>
            <w:cnfStyle w:val="000000100000"/>
            <w:tcW w:w="1494" w:type="dxa"/>
            <w:tcBorders>
              <w:top w:val="single" w:color="auto" w:sz="4" w:space="0"/>
            </w:tcBorders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trHeight w:val="230"/>
          <w:jc w:val="center"/>
        </w:trPr>
        <w:tc>
          <w:tcPr>
            <w:cnfStyle w:val="001000010000"/>
            <w:tcW w:w="469" w:type="dxa"/>
            <w:tcBorders>
              <w:top w:val="nil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shd w:val="clear" w:color="auto" w:fill="ffc000" w:themeFill="accent4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000000010000"/>
            <w:tcW w:w="2750" w:type="dxa"/>
            <w:tcBorders>
              <w:top w:val="dashSmallGap" w:color="auto" w:sz="4" w:space="0"/>
              <w:bottom w:val="dashSmallGap" w:color="auto" w:sz="4" w:space="0"/>
            </w:tcBorders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000000010000"/>
            <w:tcW w:w="6126" w:type="dxa"/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000000010000"/>
            <w:tcW w:w="1494" w:type="dxa"/>
            <w:shd w:val="clear" w:color="auto" w:fill="ffc000" w:themeFill="accent4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3533"/>
          <w:jc w:val="center"/>
        </w:trPr>
        <w:tc>
          <w:tcPr>
            <w:cnfStyle w:val="001000100000"/>
            <w:tcW w:w="469" w:type="dxa"/>
            <w:vMerge w:val="restart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shd w:val="clear" w:color="auto" w:fill="ffc000" w:themeFill="accent4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hAnsi="Tw Cen MT"/>
              </w:rPr>
              <w:t>Ciencias Naturales</w:t>
            </w:r>
          </w:p>
        </w:tc>
        <w:tc>
          <w:tcPr>
            <w:cnfStyle w:val="00000010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t>Identifica la respiración en animales, las estructuras asociadas y su relación con el medio natural en el que viven.</w:t>
            </w:r>
          </w:p>
        </w:tc>
        <w:tc>
          <w:tcPr>
            <w:cnfStyle w:val="000000100000"/>
            <w:tcW w:w="6126" w:type="dxa"/>
            <w:tcBorders>
              <w:bottom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el tipo de respiración de cada animal y órgano.</w:t>
            </w:r>
          </w:p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743325" cy="857250"/>
                  <wp:effectExtent l="0" t="0" r="0" b="0"/>
                  <wp:docPr id="2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cnfStyle w:val="000000100000"/>
            <w:tcW w:w="1494" w:type="dxa"/>
            <w:vMerge w:val="restart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>
        <w:trPr>
          <w:cantSplit w:val="on"/>
          <w:trHeight w:val="965"/>
          <w:jc w:val="center"/>
        </w:trPr>
        <w:tc>
          <w:tcPr>
            <w:cnfStyle w:val="00100001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 w:themeFill="accent4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eastAsia="Arial MT" w:hAnsi="Tw Cen MT"/>
              </w:rPr>
              <w:t xml:space="preserve"> </w:t>
            </w:r>
            <w:r>
              <w:rPr>
                <w:rFonts w:ascii="Tw Cen MT" w:cstheme="minorHAnsi" w:hAnsi="Tw Cen MT"/>
              </w:rPr>
              <w:t>Matemáticas</w:t>
            </w:r>
          </w:p>
        </w:tc>
        <w:tc>
          <w:tcPr>
            <w:cnfStyle w:val="00000001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0"/>
              </w:rPr>
              <w:t>Resolución de multiplicaciones cuyo producto sea hasta del orden de las centenas, mediante diversos procedimientos (como suma de multiplicaciones parciales, multiplicaciones por 10, 20, 30, etcétera).</w:t>
            </w:r>
          </w:p>
        </w:tc>
        <w:tc>
          <w:tcPr>
            <w:cnfStyle w:val="000000010000"/>
            <w:tcW w:w="6126" w:type="dxa"/>
            <w:tcBorders>
              <w:bottom w:val="single" w:color="auto" w:sz="4" w:space="0"/>
            </w:tcBorders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problemas en tu cuaderno.</w:t>
            </w:r>
          </w:p>
          <w:p>
            <w:pPr>
              <w:pStyle w:val="ListParagraph"/>
              <w:numPr>
                <w:ilvl w:val="0"/>
                <w:numId w:val="45"/>
              </w:numPr>
              <w:jc w:val="both"/>
              <w:rPr>
                <w:rStyle w:val="A3"/>
                <w:rFonts w:ascii="Tw Cen MT" w:hAnsi="Tw Cen MT"/>
                <w:sz w:val="20"/>
              </w:rPr>
            </w:pPr>
            <w:r>
              <w:rPr>
                <w:rStyle w:val="A3"/>
                <w:rFonts w:ascii="Tw Cen MT" w:hAnsi="Tw Cen MT"/>
                <w:sz w:val="20"/>
              </w:rPr>
              <w:t>En un huerto sembraron 24 hileras con 18 naranjos cada una, ¿cuántos naranjos hay en total?</w:t>
            </w:r>
          </w:p>
          <w:p>
            <w:pPr>
              <w:pStyle w:val="ListParagraph"/>
              <w:jc w:val="both"/>
              <w:rPr>
                <w:rStyle w:val="A3"/>
                <w:rFonts w:ascii="Tw Cen MT" w:hAnsi="Tw Cen MT"/>
                <w:sz w:val="20"/>
              </w:rPr>
            </w:pPr>
          </w:p>
          <w:p>
            <w:pPr>
              <w:pStyle w:val="ListParagraph"/>
              <w:numPr>
                <w:ilvl w:val="0"/>
                <w:numId w:val="45"/>
              </w:numPr>
              <w:jc w:val="both"/>
              <w:rPr>
                <w:rStyle w:val="A3"/>
                <w:rFonts w:ascii="Tw Cen MT" w:hAnsi="Tw Cen MT"/>
                <w:sz w:val="20"/>
              </w:rPr>
            </w:pPr>
            <w:r>
              <w:rPr>
                <w:rStyle w:val="A3"/>
                <w:rFonts w:ascii="Tw Cen MT" w:hAnsi="Tw Cen MT"/>
                <w:sz w:val="20"/>
              </w:rPr>
              <w:t>En una tienda reciben 54 cajas con 21 paquetes de pasta cada una. ¿Cuántos paquetes de pasta recibió la tienda?</w:t>
            </w:r>
          </w:p>
          <w:p>
            <w:pPr>
              <w:jc w:val="both"/>
              <w:rPr>
                <w:rStyle w:val="A3"/>
                <w:rFonts w:ascii="Tw Cen MT" w:hAnsi="Tw Cen MT"/>
                <w:sz w:val="20"/>
              </w:rPr>
            </w:pPr>
          </w:p>
          <w:p>
            <w:pPr>
              <w:pStyle w:val="ListParagraph"/>
              <w:numPr>
                <w:ilvl w:val="0"/>
                <w:numId w:val="45"/>
              </w:numPr>
              <w:jc w:val="both"/>
              <w:rPr>
                <w:rStyle w:val="A3"/>
                <w:rFonts w:ascii="Tw Cen MT" w:hAnsi="Tw Cen MT"/>
                <w:sz w:val="20"/>
              </w:rPr>
            </w:pPr>
            <w:r>
              <w:rPr>
                <w:rStyle w:val="A3"/>
                <w:rFonts w:ascii="Tw Cen MT" w:hAnsi="Tw Cen MT"/>
                <w:sz w:val="20"/>
              </w:rPr>
              <w:t>Se sabe que el canguro australiano salta con un máximo de avanzada de hasta 11 m, si lleva 76 saltos de esa medida, ¿cuántos metros ha avanzado?</w:t>
            </w:r>
          </w:p>
          <w:p>
            <w:pPr>
              <w:pStyle w:val="ListParagraph"/>
              <w:jc w:val="both"/>
              <w:rPr>
                <w:rStyle w:val="A3"/>
                <w:rFonts w:ascii="Tw Cen MT" w:hAnsi="Tw Cen MT"/>
                <w:sz w:val="20"/>
              </w:rPr>
            </w:pPr>
          </w:p>
          <w:p>
            <w:pPr>
              <w:pStyle w:val="ListParagraph"/>
              <w:numPr>
                <w:ilvl w:val="0"/>
                <w:numId w:val="45"/>
              </w:numPr>
              <w:spacing w:line="256" w:lineRule="auto"/>
              <w:jc w:val="both"/>
              <w:rPr>
                <w:szCs w:val="20"/>
              </w:rPr>
            </w:pPr>
            <w:r>
              <w:rPr>
                <w:rStyle w:val="A3"/>
                <w:rFonts w:ascii="Tw Cen MT" w:hAnsi="Tw Cen MT"/>
                <w:sz w:val="20"/>
              </w:rPr>
              <w:t xml:space="preserve">Un delfín consume 15 kilogramos de peces diarios, en el </w:t>
            </w:r>
            <w:r>
              <w:rPr>
                <w:rStyle w:val="A3"/>
                <w:rFonts w:ascii="Tw Cen MT" w:hAnsi="Tw Cen MT"/>
                <w:sz w:val="20"/>
              </w:rPr>
              <w:t>Dolphinaris</w:t>
            </w:r>
            <w:r>
              <w:rPr>
                <w:rStyle w:val="A3"/>
                <w:rFonts w:ascii="Tw Cen MT" w:hAnsi="Tw Cen MT"/>
                <w:sz w:val="20"/>
              </w:rPr>
              <w:t xml:space="preserve"> (institución para nadar con delfines) existen 47 delfines, ¿cuántos kilogramos de alimento consumen en un día?</w:t>
            </w:r>
          </w:p>
          <w:p>
            <w:pPr>
              <w:jc w:val="both"/>
              <w:rPr>
                <w:rFonts w:ascii="Tw Cen MT" w:hAnsi="Tw Cen MT"/>
              </w:rPr>
            </w:pPr>
          </w:p>
        </w:tc>
        <w:tc>
          <w:tcPr>
            <w:cnfStyle w:val="000000010000"/>
            <w:tcW w:w="149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965"/>
          <w:jc w:val="center"/>
        </w:trPr>
        <w:tc>
          <w:tcPr>
            <w:cnfStyle w:val="00100010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 w:themeFill="accent4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cstheme="minorHAnsi" w:hAnsi="Tw Cen MT"/>
              </w:rPr>
            </w:pPr>
            <w:r>
              <w:rPr>
                <w:rFonts w:ascii="Tw Cen MT" w:cstheme="minorHAnsi" w:eastAsia="Arial MT" w:hAnsi="Tw Cen MT"/>
              </w:rPr>
              <w:t xml:space="preserve"> </w:t>
            </w:r>
            <w:r>
              <w:rPr>
                <w:rFonts w:ascii="Tw Cen MT" w:cstheme="minorHAnsi" w:hAnsi="Tw Cen MT"/>
              </w:rPr>
              <w:t>Lengua materna</w:t>
            </w:r>
          </w:p>
        </w:tc>
        <w:tc>
          <w:tcPr>
            <w:cnfStyle w:val="000000100000"/>
            <w:tcW w:w="2750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t xml:space="preserve">Sigue un instructivo sencillo para la elaboración de un juguete.  </w:t>
            </w:r>
          </w:p>
        </w:tc>
        <w:tc>
          <w:tcPr>
            <w:cnfStyle w:val="000000100000"/>
            <w:tcW w:w="6126" w:type="dxa"/>
            <w:tcBorders>
              <w:top w:val="single" w:color="auto" w:sz="4" w:space="0"/>
            </w:tcBorders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Completa los datos que faltan en el instructivo. </w:t>
            </w: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drawing xmlns:mc="http://schemas.openxmlformats.org/markup-compatibility/2006">
                <wp:inline distT="0" distB="0" distL="0" distR="0">
                  <wp:extent cx="3277223" cy="3341482"/>
                  <wp:effectExtent l="0" t="0" r="0" b="0"/>
                  <wp:docPr id="2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223" cy="334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la pagina 85 del libro de español. </w:t>
            </w:r>
          </w:p>
        </w:tc>
        <w:tc>
          <w:tcPr>
            <w:cnfStyle w:val="000000100000"/>
            <w:tcW w:w="149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trHeight w:val="230"/>
          <w:jc w:val="center"/>
        </w:trPr>
        <w:tc>
          <w:tcPr>
            <w:cnfStyle w:val="001000010000"/>
            <w:tcW w:w="469" w:type="dxa"/>
            <w:tcBorders>
              <w:top w:val="dashSmallGap" w:color="auto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single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000000010000"/>
            <w:tcW w:w="2750" w:type="dxa"/>
            <w:tcBorders>
              <w:top w:val="dashSmallGap" w:color="auto" w:sz="4" w:space="0"/>
              <w:left w:val="single" w:color="auto" w:sz="4" w:space="0"/>
              <w:bottom w:val="dashSmallGap" w:color="auto" w:sz="4" w:space="0"/>
              <w:right w:val="single" w:color="auto" w:sz="4" w:space="0"/>
            </w:tcBorders>
            <w:shd w:val="clear" w:color="auto" w:fill="f8cbac" w:themeFill="accent2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000000010000"/>
            <w:tcW w:w="6126" w:type="dxa"/>
            <w:tcBorders>
              <w:left w:val="single" w:color="auto" w:sz="4" w:space="0"/>
            </w:tcBorders>
            <w:shd w:val="clear" w:color="auto" w:fill="f8cbac" w:themeFill="accent2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000000010000"/>
            <w:tcW w:w="1494" w:type="dxa"/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979"/>
          <w:jc w:val="center"/>
        </w:trPr>
        <w:tc>
          <w:tcPr>
            <w:cnfStyle w:val="001000100000"/>
            <w:tcW w:w="469" w:type="dxa"/>
            <w:vMerge w:val="restart"/>
            <w:tcBorders>
              <w:top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cnfStyle w:val="000000100000"/>
            <w:tcW w:w="10431" w:type="dxa"/>
            <w:gridSpan w:val="3"/>
            <w:tcBorders>
              <w:top w:val="dashSmallGap" w:color="auto" w:sz="4" w:space="0"/>
              <w:left w:val="single" w:color="000000" w:sz="6" w:space="0"/>
              <w:bottom w:val="single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w Cen MT" w:cstheme="minorHAnsi" w:hAnsi="Tw Cen MT"/>
              </w:rPr>
            </w:pPr>
          </w:p>
          <w:p>
            <w:pPr>
              <w:rPr>
                <w:rFonts w:ascii="Tw Cen MT" w:cs="Arial MT" w:eastAsia="Arial MT" w:hAnsi="Tw Cen MT"/>
              </w:rPr>
            </w:pP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ACTIVIDAD NAVIDEÑA PARA DARLE INICIO A LAS VACACIONES</w:t>
            </w:r>
          </w:p>
          <w:p>
            <w:pPr>
              <w:jc w:val="both"/>
              <w:rPr>
                <w:rFonts w:ascii="Tw Cen MT" w:cstheme="minorHAnsi" w:hAnsi="Tw Cen MT"/>
              </w:rPr>
            </w:pPr>
          </w:p>
          <w:p>
            <w:pPr>
              <w:jc w:val="both"/>
              <w:rPr>
                <w:rFonts w:ascii="Tw Cen MT" w:cstheme="minorHAnsi" w:hAnsi="Tw Cen MT"/>
              </w:rPr>
            </w:pPr>
          </w:p>
          <w:p>
            <w:pPr>
              <w:jc w:val="center"/>
              <w:rPr>
                <w:rFonts w:ascii="Tw Cen MT" w:cstheme="minorHAnsi" w:hAnsi="Tw Cen MT"/>
              </w:rPr>
            </w:pPr>
            <w:r>
              <w:rPr/>
              <w:drawing xmlns:mc="http://schemas.openxmlformats.org/markup-compatibility/2006">
                <wp:inline distT="0" distB="0" distL="0" distR="0">
                  <wp:extent cx="4762500" cy="3248025"/>
                  <wp:effectExtent l="0" t="0" r="0" b="0"/>
                  <wp:docPr id="3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1494" w:type="dxa"/>
            <w:vMerge w:val="restart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rPr>
          <w:cantSplit w:val="on"/>
          <w:trHeight w:val="416"/>
          <w:jc w:val="center"/>
        </w:trPr>
        <w:tc>
          <w:tcPr>
            <w:cnfStyle w:val="001000010000"/>
            <w:tcW w:w="469" w:type="dxa"/>
            <w:vMerge w:val="continue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0431" w:type="dxa"/>
            <w:gridSpan w:val="3"/>
            <w:tcBorders>
              <w:top w:val="single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cstheme="minorHAnsi" w:hAnsi="Tw Cen MT"/>
              </w:rPr>
            </w:pPr>
          </w:p>
        </w:tc>
        <w:tc>
          <w:tcPr>
            <w:cnfStyle w:val="000000010000"/>
            <w:tcW w:w="149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>
      <w:pPr>
        <w:jc w:val="both"/>
        <w:rPr>
          <w:rFonts w:ascii="Tw Cen MT" w:hAnsi="Tw Cen MT"/>
        </w:rPr>
      </w:pPr>
    </w:p>
    <w:p>
      <w:pPr>
        <w:jc w:val="both"/>
        <w:rPr>
          <w:rFonts w:ascii="Tw Cen MT" w:hAnsi="Tw Cen MT"/>
          <w:color w:val="203864" w:themeColor="accent1" w:themeShade="80"/>
          <w:sz w:val="28"/>
          <w:szCs w:val="28"/>
        </w:rPr>
      </w:pPr>
      <w:r>
        <w:rPr/>
        <w:drawing xmlns:mc="http://schemas.openxmlformats.org/markup-compatibility/2006">
          <wp:inline distT="0" distB="0" distL="114300" distR="114300">
            <wp:extent cx="503487" cy="438150"/>
            <wp:effectExtent l="0" t="0" r="0" b="0"/>
            <wp:docPr id="3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87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20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203864" w:themeColor="accent1" w:themeShade="80"/>
          <w:sz w:val="28"/>
          <w:szCs w:val="28"/>
        </w:rPr>
        <w:t xml:space="preserve"> </w:t>
      </w:r>
      <w:r>
        <w:rPr/>
        <w:drawing xmlns:mc="http://schemas.openxmlformats.org/markup-compatibility/2006">
          <wp:inline distT="0" distB="0" distL="114300" distR="114300">
            <wp:extent cx="603530" cy="466725"/>
            <wp:effectExtent l="0" t="0" r="0" b="0"/>
            <wp:docPr id="3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</w:t>
      </w:r>
      <w:r>
        <w:rPr>
          <w:rFonts w:ascii="Tw Cen MT" w:hAnsi="Tw Cen MT"/>
        </w:rPr>
        <w:t>regalanos</w:t>
      </w:r>
      <w:r>
        <w:rPr>
          <w:rFonts w:ascii="Tw Cen MT" w:hAnsi="Tw Cen MT"/>
        </w:rPr>
        <w:t xml:space="preserve"> un </w:t>
      </w:r>
      <w:r>
        <w:rPr>
          <w:rFonts w:ascii="Tw Cen MT" w:hAnsi="Tw Cen MT"/>
        </w:rPr>
        <w:t>like</w:t>
      </w:r>
      <w:r>
        <w:rPr>
          <w:rFonts w:ascii="Tw Cen MT" w:hAnsi="Tw Cen MT"/>
        </w:rPr>
        <w:t xml:space="preserve"> en nuest</w:t>
      </w:r>
      <w:r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>
        <w:rPr>
          <w:rFonts w:ascii="Tw Cen MT" w:hAnsi="Tw Cen MT"/>
        </w:rPr>
        <w:t xml:space="preserve"> </w:t>
      </w:r>
    </w:p>
    <w:p>
      <w:pPr>
        <w:jc w:val="both"/>
        <w:rPr>
          <w:rFonts w:ascii="Tw Cen MT" w:hAnsi="Tw Cen MT"/>
        </w:rPr>
      </w:pPr>
      <w:r>
        <w:fldChar w:fldCharType="begin"/>
      </w:r>
      <w:r>
        <w:instrText xml:space="preserve">HYPERLINK "https://www.facebook.com/Miss-Planeaciones-100780128994508/" </w:instrText>
      </w:r>
      <w:r>
        <w:fldChar w:fldCharType="separate"/>
      </w:r>
      <w:r>
        <w:rPr>
          <w:rStyle w:val="Hyperlink"/>
          <w:rFonts w:ascii="Tw Cen MT" w:hAnsi="Tw Cen MT"/>
        </w:rPr>
        <w:t>https://www.facebook.com/Miss-Planeaciones-100780128994508/</w:t>
      </w:r>
      <w:r>
        <w:fldChar w:fldCharType="end"/>
      </w:r>
    </w:p>
    <w:p>
      <w:pPr>
        <w:jc w:val="both"/>
        <w:rPr>
          <w:rFonts w:ascii="Tw Cen MT" w:hAnsi="Tw Cen MT"/>
        </w:rPr>
      </w:pPr>
    </w:p>
    <w:sectPr>
      <w:headerReference w:type="default" r:id="rId45"/>
      <w:headerReference w:type="first" r:id="rId46"/>
      <w:headerReference w:type="even" r:id="rId47"/>
      <w:footerReference w:type="default" r:id="rId48"/>
      <w:footerReference w:type="first" r:id="rId49"/>
      <w:footerReference w:type="even" r:id="rId50"/>
      <w:pgSz w:w="15840" w:h="12240" w:orient="landscape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decorative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Gill Sans Infant Std">
    <w:altName w:val="Calibri"/>
    <w:charset w:val="00"/>
    <w:family w:val="swiss"/>
    <w:notTrueType w:val="on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00000000" w:usb1="4000207b" w:usb2="00000000" w:usb3="00000000" w:csb0="0000019f" w:csb1="00000000"/>
  </w:font>
  <w:font w:name="Set Fire to the Rain">
    <w:altName w:val="Set Fire to the Rain"/>
    <w:charset w:val="00"/>
    <w:family w:val="swiss"/>
    <w:notTrueType w:val="on"/>
    <w:pitch w:val="default"/>
    <w:sig w:usb0="00000003" w:usb1="00000000" w:usb2="00000000" w:usb3="00000000" w:csb0="00000001" w:csb1="00000000"/>
  </w:font>
  <w:font w:name="Minion Pro">
    <w:altName w:val="Minion Pro"/>
    <w:charset w:val="00"/>
    <w:family w:val="roman"/>
    <w:notTrueType w:val="on"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 w:val="on"/>
    <w:pitch w:val="default"/>
  </w:font>
  <w:font w:name="ITCFranklinGothicStd-Demi">
    <w:charset w:val="00"/>
    <w:family w:val="swiss"/>
    <w:notTrueType w:val="o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rPr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rPr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Header"/>
      <w:rPr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Header"/>
      <w:rPr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Header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 w:tentative="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multiLevelType w:val="hybridMultilevel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2"/>
  </w:num>
  <w:num w:numId="3">
    <w:abstractNumId w:val="7"/>
  </w:num>
  <w:num w:numId="4">
    <w:abstractNumId w:val="21"/>
  </w:num>
  <w:num w:numId="5">
    <w:abstractNumId w:val="35"/>
  </w:num>
  <w:num w:numId="6">
    <w:abstractNumId w:val="0"/>
  </w:num>
  <w:num w:numId="7">
    <w:abstractNumId w:val="10"/>
  </w:num>
  <w:num w:numId="8">
    <w:abstractNumId w:val="23"/>
  </w:num>
  <w:num w:numId="9">
    <w:abstractNumId w:val="20"/>
  </w:num>
  <w:num w:numId="10">
    <w:abstractNumId w:val="30"/>
  </w:num>
  <w:num w:numId="11">
    <w:abstractNumId w:val="16"/>
  </w:num>
  <w:num w:numId="12">
    <w:abstractNumId w:val="41"/>
  </w:num>
  <w:num w:numId="13">
    <w:abstractNumId w:val="33"/>
  </w:num>
  <w:num w:numId="14">
    <w:abstractNumId w:val="34"/>
  </w:num>
  <w:num w:numId="15">
    <w:abstractNumId w:val="19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7"/>
  </w:num>
  <w:num w:numId="21">
    <w:abstractNumId w:val="27"/>
  </w:num>
  <w:num w:numId="22">
    <w:abstractNumId w:val="37"/>
  </w:num>
  <w:num w:numId="23">
    <w:abstractNumId w:val="6"/>
  </w:num>
  <w:num w:numId="24">
    <w:abstractNumId w:val="4"/>
  </w:num>
  <w:num w:numId="25">
    <w:abstractNumId w:val="24"/>
  </w:num>
  <w:num w:numId="26">
    <w:abstractNumId w:val="40"/>
  </w:num>
  <w:num w:numId="27">
    <w:abstractNumId w:val="26"/>
  </w:num>
  <w:num w:numId="28">
    <w:abstractNumId w:val="11"/>
  </w:num>
  <w:num w:numId="29">
    <w:abstractNumId w:val="22"/>
  </w:num>
  <w:num w:numId="30">
    <w:abstractNumId w:val="36"/>
  </w:num>
  <w:num w:numId="31">
    <w:abstractNumId w:val="36"/>
  </w:num>
  <w:num w:numId="32">
    <w:abstractNumId w:val="31"/>
  </w:num>
  <w:num w:numId="33">
    <w:abstractNumId w:val="15"/>
  </w:num>
  <w:num w:numId="34">
    <w:abstractNumId w:val="25"/>
  </w:num>
  <w:num w:numId="35">
    <w:abstractNumId w:val="28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29"/>
  </w:num>
  <w:num w:numId="40">
    <w:abstractNumId w:val="3"/>
  </w:num>
  <w:num w:numId="41">
    <w:abstractNumId w:val="1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movePersonalInformation/>
  <w:removeDateAndTime/>
  <w:displayBackgroundShape/>
  <w:hideSpellingErrors/>
  <w:hideGrammaticalErrors/>
  <w:proofState w:spelling="clean"/>
  <w:revisionView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52225"/>
    <w:rsid w:val="0006188A"/>
    <w:rsid w:val="000654DE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A97"/>
    <w:rsid w:val="000C3D44"/>
    <w:rsid w:val="000C4149"/>
    <w:rsid w:val="000C5951"/>
    <w:rsid w:val="000C6FA6"/>
    <w:rsid w:val="000D22B5"/>
    <w:rsid w:val="000D3A79"/>
    <w:rsid w:val="000D4A01"/>
    <w:rsid w:val="000E1A90"/>
    <w:rsid w:val="000E2380"/>
    <w:rsid w:val="000E48F9"/>
    <w:rsid w:val="000F1A1B"/>
    <w:rsid w:val="000F1E5A"/>
    <w:rsid w:val="000F52A7"/>
    <w:rsid w:val="000F70AA"/>
    <w:rsid w:val="000F7AFB"/>
    <w:rsid w:val="00102569"/>
    <w:rsid w:val="00103C12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7F56"/>
    <w:rsid w:val="0014138E"/>
    <w:rsid w:val="00142D9B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43F0"/>
    <w:rsid w:val="001A4568"/>
    <w:rsid w:val="001A5673"/>
    <w:rsid w:val="001A5E6D"/>
    <w:rsid w:val="001A5F64"/>
    <w:rsid w:val="001A6D35"/>
    <w:rsid w:val="001A714A"/>
    <w:rsid w:val="001A73E0"/>
    <w:rsid w:val="001B2C7D"/>
    <w:rsid w:val="001B3444"/>
    <w:rsid w:val="001B3A8E"/>
    <w:rsid w:val="001B512C"/>
    <w:rsid w:val="001B7283"/>
    <w:rsid w:val="001C1B50"/>
    <w:rsid w:val="001C25B3"/>
    <w:rsid w:val="001C49C6"/>
    <w:rsid w:val="001C63AC"/>
    <w:rsid w:val="001D4BB5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80AC2"/>
    <w:rsid w:val="00280CA5"/>
    <w:rsid w:val="002835E6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433B"/>
    <w:rsid w:val="002E61DD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6E0"/>
    <w:rsid w:val="003128C0"/>
    <w:rsid w:val="00313481"/>
    <w:rsid w:val="003137D1"/>
    <w:rsid w:val="00323245"/>
    <w:rsid w:val="00332A32"/>
    <w:rsid w:val="0033528F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B7"/>
    <w:rsid w:val="003536C6"/>
    <w:rsid w:val="0035405A"/>
    <w:rsid w:val="00360830"/>
    <w:rsid w:val="00363C8A"/>
    <w:rsid w:val="00370015"/>
    <w:rsid w:val="0037031E"/>
    <w:rsid w:val="00370C29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8B1"/>
    <w:rsid w:val="00393FA3"/>
    <w:rsid w:val="00394CA8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5057"/>
    <w:rsid w:val="003D797B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DA6"/>
    <w:rsid w:val="004247BF"/>
    <w:rsid w:val="004252D7"/>
    <w:rsid w:val="00427CD7"/>
    <w:rsid w:val="0043148E"/>
    <w:rsid w:val="0043358D"/>
    <w:rsid w:val="0043511A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2728"/>
    <w:rsid w:val="00487602"/>
    <w:rsid w:val="004918CE"/>
    <w:rsid w:val="00492366"/>
    <w:rsid w:val="00493571"/>
    <w:rsid w:val="004949F9"/>
    <w:rsid w:val="004A3AC3"/>
    <w:rsid w:val="004A4F35"/>
    <w:rsid w:val="004A5B23"/>
    <w:rsid w:val="004A6B92"/>
    <w:rsid w:val="004A7EFB"/>
    <w:rsid w:val="004B5DC5"/>
    <w:rsid w:val="004B6D3E"/>
    <w:rsid w:val="004C1389"/>
    <w:rsid w:val="004C1FF9"/>
    <w:rsid w:val="004D178A"/>
    <w:rsid w:val="004D1887"/>
    <w:rsid w:val="004D2373"/>
    <w:rsid w:val="004D3ED3"/>
    <w:rsid w:val="004D5F9C"/>
    <w:rsid w:val="004D64BF"/>
    <w:rsid w:val="004E2563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1C82"/>
    <w:rsid w:val="0051301A"/>
    <w:rsid w:val="005137DF"/>
    <w:rsid w:val="00513962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4D79"/>
    <w:rsid w:val="005C6B41"/>
    <w:rsid w:val="005D0258"/>
    <w:rsid w:val="005D1111"/>
    <w:rsid w:val="005D1112"/>
    <w:rsid w:val="005D2FFF"/>
    <w:rsid w:val="005D4CB1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608D"/>
    <w:rsid w:val="00601C2E"/>
    <w:rsid w:val="00602B10"/>
    <w:rsid w:val="00602E0D"/>
    <w:rsid w:val="00604527"/>
    <w:rsid w:val="00604643"/>
    <w:rsid w:val="00606F7A"/>
    <w:rsid w:val="00607929"/>
    <w:rsid w:val="00612AD7"/>
    <w:rsid w:val="00613368"/>
    <w:rsid w:val="006139A8"/>
    <w:rsid w:val="00614A4D"/>
    <w:rsid w:val="00620F8F"/>
    <w:rsid w:val="00624240"/>
    <w:rsid w:val="006247C6"/>
    <w:rsid w:val="0062615A"/>
    <w:rsid w:val="0062639C"/>
    <w:rsid w:val="00627223"/>
    <w:rsid w:val="006301FB"/>
    <w:rsid w:val="00632181"/>
    <w:rsid w:val="00632653"/>
    <w:rsid w:val="00632770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60A40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80AC9"/>
    <w:rsid w:val="0078236F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F65"/>
    <w:rsid w:val="007A48B1"/>
    <w:rsid w:val="007A62AC"/>
    <w:rsid w:val="007B0542"/>
    <w:rsid w:val="007B2672"/>
    <w:rsid w:val="007B3775"/>
    <w:rsid w:val="007B54EF"/>
    <w:rsid w:val="007B5B50"/>
    <w:rsid w:val="007C334B"/>
    <w:rsid w:val="007C608C"/>
    <w:rsid w:val="007D1736"/>
    <w:rsid w:val="007D1C58"/>
    <w:rsid w:val="007D4138"/>
    <w:rsid w:val="007D5AA1"/>
    <w:rsid w:val="007D64FA"/>
    <w:rsid w:val="007D708F"/>
    <w:rsid w:val="007E1614"/>
    <w:rsid w:val="007E692B"/>
    <w:rsid w:val="007E6BA5"/>
    <w:rsid w:val="007F54E8"/>
    <w:rsid w:val="007F747F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BFD"/>
    <w:rsid w:val="00821584"/>
    <w:rsid w:val="00823C8E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71356"/>
    <w:rsid w:val="00872F6E"/>
    <w:rsid w:val="00873A5B"/>
    <w:rsid w:val="00873D08"/>
    <w:rsid w:val="00875263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3710"/>
    <w:rsid w:val="008937DE"/>
    <w:rsid w:val="00893C0F"/>
    <w:rsid w:val="00894110"/>
    <w:rsid w:val="008967DB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944"/>
    <w:rsid w:val="008D6625"/>
    <w:rsid w:val="008D73C8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2711"/>
    <w:rsid w:val="00920945"/>
    <w:rsid w:val="00923140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BE7"/>
    <w:rsid w:val="00994FDD"/>
    <w:rsid w:val="009956E4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DBA"/>
    <w:rsid w:val="00A67750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5E9D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C0A0A"/>
    <w:rsid w:val="00AC29BF"/>
    <w:rsid w:val="00AC48E8"/>
    <w:rsid w:val="00AC53F7"/>
    <w:rsid w:val="00AC5A8B"/>
    <w:rsid w:val="00AC6C51"/>
    <w:rsid w:val="00AC6DEA"/>
    <w:rsid w:val="00AD0091"/>
    <w:rsid w:val="00AD06B4"/>
    <w:rsid w:val="00AD0D56"/>
    <w:rsid w:val="00AD2C43"/>
    <w:rsid w:val="00AD40FF"/>
    <w:rsid w:val="00AD4611"/>
    <w:rsid w:val="00AD76ED"/>
    <w:rsid w:val="00AE059F"/>
    <w:rsid w:val="00AE0D2D"/>
    <w:rsid w:val="00AE1608"/>
    <w:rsid w:val="00AE36FD"/>
    <w:rsid w:val="00AF019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7B4"/>
    <w:rsid w:val="00BA5B17"/>
    <w:rsid w:val="00BA7015"/>
    <w:rsid w:val="00BA7A85"/>
    <w:rsid w:val="00BB0EFF"/>
    <w:rsid w:val="00BB1E57"/>
    <w:rsid w:val="00BB2D7F"/>
    <w:rsid w:val="00BB3B28"/>
    <w:rsid w:val="00BB4B4B"/>
    <w:rsid w:val="00BC1C1F"/>
    <w:rsid w:val="00BC1D08"/>
    <w:rsid w:val="00BC227A"/>
    <w:rsid w:val="00BC62E3"/>
    <w:rsid w:val="00BC6E2A"/>
    <w:rsid w:val="00BE09AA"/>
    <w:rsid w:val="00BE1BC1"/>
    <w:rsid w:val="00BE287A"/>
    <w:rsid w:val="00BE5CD7"/>
    <w:rsid w:val="00BE616C"/>
    <w:rsid w:val="00BE633B"/>
    <w:rsid w:val="00BF02B7"/>
    <w:rsid w:val="00BF071D"/>
    <w:rsid w:val="00BF15DF"/>
    <w:rsid w:val="00BF22FF"/>
    <w:rsid w:val="00BF43DC"/>
    <w:rsid w:val="00BF607C"/>
    <w:rsid w:val="00BF6968"/>
    <w:rsid w:val="00C01210"/>
    <w:rsid w:val="00C029B1"/>
    <w:rsid w:val="00C02DB0"/>
    <w:rsid w:val="00C02FD6"/>
    <w:rsid w:val="00C070E3"/>
    <w:rsid w:val="00C1620F"/>
    <w:rsid w:val="00C165CB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E44"/>
    <w:rsid w:val="00C3178E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1215E"/>
    <w:rsid w:val="00D1440D"/>
    <w:rsid w:val="00D157D5"/>
    <w:rsid w:val="00D167C0"/>
    <w:rsid w:val="00D225E3"/>
    <w:rsid w:val="00D246D4"/>
    <w:rsid w:val="00D25F19"/>
    <w:rsid w:val="00D30E22"/>
    <w:rsid w:val="00D33E6E"/>
    <w:rsid w:val="00D350A3"/>
    <w:rsid w:val="00D438A2"/>
    <w:rsid w:val="00D4465A"/>
    <w:rsid w:val="00D465C7"/>
    <w:rsid w:val="00D46D5F"/>
    <w:rsid w:val="00D50218"/>
    <w:rsid w:val="00D53316"/>
    <w:rsid w:val="00D56E55"/>
    <w:rsid w:val="00D5751A"/>
    <w:rsid w:val="00D57ACA"/>
    <w:rsid w:val="00D618C9"/>
    <w:rsid w:val="00D61F98"/>
    <w:rsid w:val="00D632AB"/>
    <w:rsid w:val="00D6357F"/>
    <w:rsid w:val="00D64BAB"/>
    <w:rsid w:val="00D653E4"/>
    <w:rsid w:val="00D705B4"/>
    <w:rsid w:val="00D734DE"/>
    <w:rsid w:val="00D7380B"/>
    <w:rsid w:val="00D73C62"/>
    <w:rsid w:val="00D74443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118B"/>
    <w:rsid w:val="00DD128E"/>
    <w:rsid w:val="00DD1BE5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5B1C"/>
    <w:rsid w:val="00DE5EAB"/>
    <w:rsid w:val="00DE6FFE"/>
    <w:rsid w:val="00DF135F"/>
    <w:rsid w:val="00DF14B2"/>
    <w:rsid w:val="00DF2EA4"/>
    <w:rsid w:val="00DF6EA6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ADA"/>
    <w:rsid w:val="00E20A9A"/>
    <w:rsid w:val="00E20E6D"/>
    <w:rsid w:val="00E23306"/>
    <w:rsid w:val="00E2484C"/>
    <w:rsid w:val="00E2671C"/>
    <w:rsid w:val="00E26953"/>
    <w:rsid w:val="00E26FAD"/>
    <w:rsid w:val="00E27606"/>
    <w:rsid w:val="00E27EC9"/>
    <w:rsid w:val="00E316BD"/>
    <w:rsid w:val="00E34CE4"/>
    <w:rsid w:val="00E35630"/>
    <w:rsid w:val="00E35CCF"/>
    <w:rsid w:val="00E361CD"/>
    <w:rsid w:val="00E37583"/>
    <w:rsid w:val="00E4316B"/>
    <w:rsid w:val="00E4553D"/>
    <w:rsid w:val="00E51936"/>
    <w:rsid w:val="00E529CC"/>
    <w:rsid w:val="00E53A2A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318C"/>
    <w:rsid w:val="00E973EE"/>
    <w:rsid w:val="00E976F6"/>
    <w:rsid w:val="00EA0590"/>
    <w:rsid w:val="00EA0802"/>
    <w:rsid w:val="00EA3CFB"/>
    <w:rsid w:val="00EA53AE"/>
    <w:rsid w:val="00EA5FE0"/>
    <w:rsid w:val="00EB3605"/>
    <w:rsid w:val="00EB794D"/>
    <w:rsid w:val="00EC1FD6"/>
    <w:rsid w:val="00EC2E18"/>
    <w:rsid w:val="00EC57F1"/>
    <w:rsid w:val="00EC6689"/>
    <w:rsid w:val="00EC6A91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74B1A"/>
    <w:rsid w:val="00F773F9"/>
    <w:rsid w:val="00F77819"/>
    <w:rsid w:val="00F812FA"/>
    <w:rsid w:val="00F8144D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372B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9EE618D"/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es-MX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character" w:customStyle="1" w:styleId="Menciónsinresolver1">
    <w:name w:val="Mención sin resolver1"/>
    <w:basedOn w:val="DefaultParagraphFont"/>
    <w:uiPriority w:val="99"/>
    <w:semiHidden w:val="on"/>
    <w:unhideWhenUsed w:val="on"/>
    <w:unhideWhenUsed w:val="on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BalloonText">
    <w:name w:val="Balloon Text"/>
    <w:basedOn w:val="Normal"/>
    <w:link w:val="TextodegloboCar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EncabezadoCar"/>
    <w:uiPriority w:val="99"/>
    <w:unhideWhenUsed w:val="on"/>
    <w:unhideWhenUsed w:val="on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</w:style>
  <w:style w:type="paragraph" w:styleId="Footer">
    <w:name w:val="Footer"/>
    <w:basedOn w:val="Normal"/>
    <w:link w:val="PiedepáginaCar"/>
    <w:uiPriority w:val="99"/>
    <w:unhideWhenUsed w:val="on"/>
    <w:unhideWhenUsed w:val="on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áginaCar">
    <w:name w:val="Pie de página Car"/>
    <w:basedOn w:val="DefaultParagraphFont"/>
    <w:link w:val="Footer"/>
    <w:uiPriority w:val="99"/>
  </w:style>
  <w:style w:type="character" w:customStyle="1" w:styleId="A4">
    <w:name w:val="A4"/>
    <w:uiPriority w:val="99"/>
    <w:rPr>
      <w:rFonts w:cs="Gill Sans Infant Std"/>
      <w:b/>
      <w:bCs/>
      <w:color w:val="000000"/>
      <w:sz w:val="28"/>
      <w:szCs w:val="28"/>
    </w:rPr>
  </w:style>
  <w:style w:type="table" w:styleId="LightShadingAccent2">
    <w:name w:val="Light Shading Accent 2"/>
    <w:basedOn w:val="NormalTable"/>
    <w:uiPriority w:val="60"/>
    <w:pPr>
      <w:spacing w:after="0" w:line="240" w:lineRule="auto"/>
    </w:pPr>
    <w:rPr>
      <w:color w:val="c55a11" w:themeColor="accent2" w:themeShade="bf"/>
    </w:rPr>
    <w:tblPr>
      <w:tblStyleRowBandSize w:val="1"/>
      <w:tblStyleColBandSize w:val="1"/>
      <w:tblBorders>
        <w:top w:val="single" w:color="ed7d31" w:themeColor="accent2" w:sz="8" w:space="0"/>
        <w:bottom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 w:sz="4" w:space="0"/>
          <w:bottom w:val="single" w:color="ed7d31" w:themeColor="accent2" w:sz="8" w:space="0"/>
          <w:right w:val="nil" w:sz="4" w:space="0"/>
          <w:insideH w:val="nil" w:sz="4" w:space="0"/>
          <w:insideV w:val="nil" w:sz="4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 w:sz="4" w:space="0"/>
          <w:bottom w:val="single" w:color="ed7d31" w:themeColor="accent2" w:sz="8" w:space="0"/>
          <w:right w:val="nil" w:sz="4" w:space="0"/>
          <w:insideH w:val="nil" w:sz="4" w:space="0"/>
          <w:insideV w:val="nil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 w:sz="4" w:space="0"/>
          <w:right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band1Horz">
      <w:tblPr/>
      <w:tcPr>
        <w:tcBorders>
          <w:left w:val="nil" w:sz="4" w:space="0"/>
          <w:right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</w:style>
  <w:style w:type="table" w:styleId="MediumList2Accent2">
    <w:name w:val="Medium List 2 Accent 2"/>
    <w:basedOn w:val="NormalTable"/>
    <w:uiPriority w:val="66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 w:sz="4" w:space="0"/>
          <w:left w:val="nil" w:sz="4" w:space="0"/>
          <w:bottom w:val="single" w:color="ed7d31" w:themeColor="accent2" w:sz="2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ed7d31" w:themeColor="accent2" w:sz="8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4" w:space="0"/>
          <w:left w:val="nil" w:sz="4" w:space="0"/>
          <w:bottom w:val="nil" w:sz="4" w:space="0"/>
          <w:right w:val="single" w:color="ed7d31" w:themeColor="accent2" w:sz="8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4" w:space="0"/>
          <w:left w:val="single" w:color="ed7d31" w:themeColor="accent2" w:sz="8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4" w:space="0"/>
          <w:right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band1Horz">
      <w:tblPr/>
      <w:tcPr>
        <w:tcBorders>
          <w:top w:val="nil" w:sz="4" w:space="0"/>
          <w:bottom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4" w:space="0"/>
        </w:tcBorders>
      </w:tcPr>
    </w:tblStylePr>
  </w:style>
  <w:style w:type="table" w:styleId="MediumGrid1Accent4">
    <w:name w:val="Medium Grid 1 Accent 4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ffd13f" w:themeColor="accent4" w:themeTint="bf" w:sz="8" w:space="0"/>
        <w:left w:val="single" w:color="ffd13f" w:themeColor="accent4" w:themeTint="bf" w:sz="8" w:space="0"/>
        <w:bottom w:val="single" w:color="ffd13f" w:themeColor="accent4" w:themeTint="bf" w:sz="8" w:space="0"/>
        <w:right w:val="single" w:color="ffd13f" w:themeColor="accent4" w:themeTint="bf" w:sz="8" w:space="0"/>
        <w:insideH w:val="single" w:color="ffd13f" w:themeColor="accent4" w:themeTint="bf" w:sz="8" w:space="0"/>
        <w:insideV w:val="single" w:color="ffd13f" w:themeColor="accent4" w:themeTint="bf" w:sz="8" w:space="0"/>
      </w:tblBorders>
    </w:tblPr>
    <w:tcPr>
      <w:shd w:val="clear" w:color="auto" w:fill="fff0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d13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7f" w:themeFill="accent4" w:themeFillTint="7f"/>
      </w:tcPr>
    </w:tblStylePr>
    <w:tblStylePr w:type="band1Horz">
      <w:tblPr/>
      <w:tcPr>
        <w:shd w:val="clear" w:color="auto" w:fill="ffe17f" w:themeFill="accent4" w:themeFillTint="7f"/>
      </w:tcPr>
    </w:tblStylePr>
  </w:style>
  <w:style w:type="character" w:customStyle="1" w:styleId="A51">
    <w:name w:val="A51"/>
    <w:uiPriority w:val="99"/>
    <w:rPr>
      <w:rFonts w:cs="Set Fire to the Rain"/>
      <w:color w:val="000000"/>
      <w:sz w:val="21"/>
      <w:szCs w:val="21"/>
    </w:rPr>
  </w:style>
  <w:style w:type="table" w:styleId="MediumGrid1Accent2">
    <w:name w:val="Medium Grid 1 Accent 2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f19e65" w:themeColor="accent2" w:themeTint="bf" w:sz="8" w:space="0"/>
        <w:left w:val="single" w:color="f19e65" w:themeColor="accent2" w:themeTint="bf" w:sz="8" w:space="0"/>
        <w:bottom w:val="single" w:color="f19e65" w:themeColor="accent2" w:themeTint="bf" w:sz="8" w:space="0"/>
        <w:right w:val="single" w:color="f19e65" w:themeColor="accent2" w:themeTint="bf" w:sz="8" w:space="0"/>
        <w:insideH w:val="single" w:color="f19e65" w:themeColor="accent2" w:themeTint="bf" w:sz="8" w:space="0"/>
        <w:insideV w:val="single" w:color="f19e65" w:themeColor="accent2" w:themeTint="bf" w:sz="8" w:space="0"/>
      </w:tblBorders>
    </w:tblPr>
    <w:tcPr>
      <w:shd w:val="clear" w:color="auto" w:fill="fadf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19e6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Accent5">
    <w:name w:val="Medium Grid 1 Accent 5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83b3df" w:themeColor="accent5" w:themeTint="bf" w:sz="8" w:space="0"/>
        <w:left w:val="single" w:color="83b3df" w:themeColor="accent5" w:themeTint="bf" w:sz="8" w:space="0"/>
        <w:bottom w:val="single" w:color="83b3df" w:themeColor="accent5" w:themeTint="bf" w:sz="8" w:space="0"/>
        <w:right w:val="single" w:color="83b3df" w:themeColor="accent5" w:themeTint="bf" w:sz="8" w:space="0"/>
        <w:insideH w:val="single" w:color="83b3df" w:themeColor="accent5" w:themeTint="bf" w:sz="8" w:space="0"/>
        <w:insideV w:val="single" w:color="83b3df" w:themeColor="accent5" w:themeTint="bf" w:sz="8" w:space="0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3b3df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cea" w:themeFill="accent5" w:themeFillTint="7f"/>
      </w:tcPr>
    </w:tblStylePr>
    <w:tblStylePr w:type="band1Horz">
      <w:tblPr/>
      <w:tcPr>
        <w:shd w:val="clear" w:color="auto" w:fill="acccea" w:themeFill="accent5" w:themeFillTint="7f"/>
      </w:tcPr>
    </w:tblStylePr>
  </w:style>
  <w:style w:type="table" w:styleId="MediumGrid1Accent6">
    <w:name w:val="Medium Grid 1 Accent 6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  <w:insideV w:val="single" w:color="93c571" w:themeColor="accent6" w:themeTint="bf" w:sz="8" w:space="0"/>
      </w:tblBorders>
    </w:tblPr>
    <w:tcPr>
      <w:shd w:val="clear" w:color="auto" w:fill="dbec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3c57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uiPriority w:val="99"/>
    <w:pPr>
      <w:spacing w:after="0" w:line="240" w:lineRule="auto"/>
    </w:pPr>
    <w:rPr>
      <w:rFonts w:ascii="Gill Sans Infant Std" w:cs="Gill Sans Infant Std" w:hAnsi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Pr>
      <w:rFonts w:cs="Gill Sans Infant Std"/>
      <w:color w:val="000000"/>
    </w:rPr>
  </w:style>
  <w:style w:type="character" w:customStyle="1" w:styleId="A222">
    <w:name w:val="A222"/>
    <w:uiPriority w:val="99"/>
    <w:rPr>
      <w:rFonts w:cs="Gill Sans Infant Std"/>
      <w:color w:val="000000"/>
      <w:sz w:val="23"/>
      <w:szCs w:val="23"/>
    </w:rPr>
  </w:style>
  <w:style w:type="character" w:styleId="UnresolvedMention">
    <w:name w:val="Unresolved Mention"/>
    <w:basedOn w:val="DefaultParagraphFont"/>
    <w:uiPriority w:val="99"/>
    <w:semiHidden w:val="on"/>
    <w:unhideWhenUsed w:val="on"/>
    <w:unhideWhenUsed w:val="on"/>
    <w:rPr>
      <w:color w:val="605e5c"/>
      <w:shd w:val="clear" w:color="auto" w:fill="e1dfdd"/>
    </w:rPr>
  </w:style>
  <w:style w:type="character" w:styleId="Annotationreference">
    <w:name w:val="Annotation reference"/>
    <w:basedOn w:val="DefaultParagraphFont"/>
    <w:uiPriority w:val="99"/>
    <w:semiHidden w:val="on"/>
    <w:unhideWhenUsed w:val="on"/>
    <w:unhideWhenUsed w:val="on"/>
    <w:rPr>
      <w:sz w:val="16"/>
      <w:szCs w:val="16"/>
    </w:rPr>
  </w:style>
  <w:style w:type="paragraph" w:styleId="Annotationtext">
    <w:name w:val="Annotation text"/>
    <w:basedOn w:val="Normal"/>
    <w:link w:val="TextocomentarioCar"/>
    <w:uiPriority w:val="99"/>
    <w:semiHidden w:val="on"/>
    <w:unhideWhenUsed w:val="on"/>
    <w:unhideWhenUsed w:val="on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DefaultParagraphFont"/>
    <w:link w:val="Annotationtext"/>
    <w:uiPriority w:val="99"/>
    <w:semiHidden w:val="on"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 w:val="on"/>
    <w:unhideWhenUsed w:val="on"/>
    <w:unhideWhenUsed w:val="on"/>
    <w:rPr>
      <w:b/>
      <w:bCs/>
    </w:rPr>
  </w:style>
  <w:style w:type="character" w:customStyle="1" w:styleId="AsuntodelcomentarioCar">
    <w:name w:val="Asunto del comentario Car"/>
    <w:basedOn w:val="TextocomentarioCar"/>
    <w:link w:val="Annotationsubject"/>
    <w:uiPriority w:val="99"/>
    <w:semiHidden w:val="on"/>
    <w:rPr>
      <w:b/>
      <w:bCs/>
      <w:sz w:val="20"/>
      <w:szCs w:val="20"/>
    </w:rPr>
  </w:style>
  <w:style w:type="table" w:styleId="GridTable6ColorfulAccent4">
    <w:name w:val="Grid Table 6 Colorful Accent 4"/>
    <w:basedOn w:val="NormalTable"/>
    <w:uiPriority w:val="51"/>
    <w:pPr>
      <w:spacing w:after="0" w:line="240" w:lineRule="auto"/>
    </w:pPr>
    <w:rPr>
      <w:color w:val="be9100" w:themeColor="accent4" w:themeShade="bf"/>
    </w:rPr>
    <w:tblPr>
      <w:tblStyleRowBandSize w:val="1"/>
      <w:tblStyleColBandSize w:val="1"/>
      <w:tblBorders>
        <w:top w:val="single" w:color="ffda65" w:themeColor="accent4" w:themeTint="99" w:sz="4" w:space="0"/>
        <w:left w:val="single" w:color="ffda65" w:themeColor="accent4" w:themeTint="99" w:sz="4" w:space="0"/>
        <w:bottom w:val="single" w:color="ffda65" w:themeColor="accent4" w:themeTint="99" w:sz="4" w:space="0"/>
        <w:right w:val="single" w:color="ffda65" w:themeColor="accent4" w:themeTint="99" w:sz="4" w:space="0"/>
        <w:insideH w:val="single" w:color="ffda65" w:themeColor="accent4" w:themeTint="99" w:sz="4" w:space="0"/>
        <w:insideV w:val="single" w:color="ffda65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ffda65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da65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b" w:themeFill="accent4" w:themeFillTint="33"/>
      </w:tcPr>
    </w:tblStylePr>
    <w:tblStylePr w:type="band1Horz">
      <w:tblPr/>
      <w:tcPr>
        <w:shd w:val="clear" w:color="auto" w:fill="fff3cb" w:themeFill="accent4" w:themeFillTint="33"/>
      </w:tcPr>
    </w:tblStylePr>
  </w:style>
  <w:style w:type="character" w:customStyle="1" w:styleId="A3">
    <w:name w:val="A3"/>
    <w:uiPriority w:val="99"/>
    <w:rPr>
      <w:rFonts w:ascii="Gill Sans Infant Std" w:cs="Gill Sans Infant Std" w:hAnsi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numbering" Target="numbering.xml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" Type="http://schemas.openxmlformats.org/officeDocument/2006/relationships/styles" Target="styles.xml"/><Relationship Id="rId30" Type="http://schemas.openxmlformats.org/officeDocument/2006/relationships/theme" Target="theme/theme1.xml"/><Relationship Id="rId31" Type="http://schemas.openxmlformats.org/officeDocument/2006/relationships/image" Target="media/image2.jpeg"/><Relationship Id="rId32" Type="http://schemas.openxmlformats.org/officeDocument/2006/relationships/image" Target="media/image4.png"/><Relationship Id="rId33" Type="http://schemas.openxmlformats.org/officeDocument/2006/relationships/image" Target="media/image5.png"/><Relationship Id="rId34" Type="http://schemas.openxmlformats.org/officeDocument/2006/relationships/image" Target="media/image9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37" Type="http://schemas.openxmlformats.org/officeDocument/2006/relationships/image" Target="media/image13.png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" Type="http://schemas.openxmlformats.org/officeDocument/2006/relationships/settings" Target="settings.xml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png"/><Relationship Id="rId45" Type="http://schemas.openxmlformats.org/officeDocument/2006/relationships/header" Target="header1.xml"/><Relationship Id="rId46" Type="http://schemas.openxmlformats.org/officeDocument/2006/relationships/header" Target="header2.xml"/><Relationship Id="rId47" Type="http://schemas.openxmlformats.org/officeDocument/2006/relationships/header" Target="header3.xml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50" Type="http://schemas.openxmlformats.org/officeDocument/2006/relationships/footer" Target="footer3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tmp"/><Relationship Id="rId12" Type="http://schemas.openxmlformats.org/officeDocument/2006/relationships/image" Target="media/image5.tmp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tmp"/><Relationship Id="rId17" Type="http://schemas.openxmlformats.org/officeDocument/2006/relationships/image" Target="media/image10.png"/><Relationship Id="rId18" Type="http://schemas.openxmlformats.org/officeDocument/2006/relationships/image" Target="media/image11.tmp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hyperlink" Target="https://www.facebook.com/Miss-Planeaciones-100780128994508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3D88-DD48-4FE3-B85A-D75B4FFE91A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832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Benavides</dc:creator>
  <cp:lastModifiedBy>Cesar Benavides</cp:lastModifiedBy>
</cp:coreProperties>
</file>