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7A2826" w:rsidRDefault="00680130">
      <w:pPr>
        <w:spacing w:after="0"/>
        <w:jc w:val="center"/>
        <w:rPr>
          <w:rFonts w:ascii="Twentieth Century" w:eastAsia="Twentieth Century" w:hAnsi="Twentieth Century" w:cs="Twentieth Century"/>
          <w:b/>
          <w:color w:val="44546A"/>
        </w:rPr>
      </w:pPr>
      <w:bookmarkStart w:id="0" w:name="_GoBack"/>
      <w:bookmarkEnd w:id="0"/>
      <w:r>
        <w:rPr>
          <w:rFonts w:ascii="Twentieth Century" w:eastAsia="Twentieth Century" w:hAnsi="Twentieth Century" w:cs="Twentieth Century"/>
          <w:b/>
          <w:color w:val="44546A"/>
        </w:rPr>
        <w:t xml:space="preserve"> SEMANA DEL 30 DE AGOSTO AL 03 DE SEPTIEMBRE DE 2021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1051560</wp:posOffset>
            </wp:positionH>
            <wp:positionV relativeFrom="paragraph">
              <wp:posOffset>-134390</wp:posOffset>
            </wp:positionV>
            <wp:extent cx="1447532" cy="1417955"/>
            <wp:effectExtent l="0" t="0" r="0" b="0"/>
            <wp:wrapNone/>
            <wp:docPr id="1" name="image1.png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Diagrama&#10;&#10;Descripción generada automáticamente"/>
                    <pic:cNvPicPr preferRelativeResize="0"/>
                  </pic:nvPicPr>
                  <pic:blipFill>
                    <a:blip r:embed="rId5"/>
                    <a:srcRect l="8435"/>
                    <a:stretch>
                      <a:fillRect/>
                    </a:stretch>
                  </pic:blipFill>
                  <pic:spPr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5985510</wp:posOffset>
            </wp:positionH>
            <wp:positionV relativeFrom="paragraph">
              <wp:posOffset>-182496</wp:posOffset>
            </wp:positionV>
            <wp:extent cx="1619250" cy="1150238"/>
            <wp:effectExtent l="0" t="0" r="0" b="0"/>
            <wp:wrapNone/>
            <wp:docPr id="2" name="image2.png" descr="ARCOIRIS TODO VA A SALIR BIEN PARA COLOREAR - Imagina, Crea, Ed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COIRIS TODO VA A SALIR BIEN PARA COLOREAR - Imagina, Crea, Edu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2826" w:rsidRDefault="00680130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rPr>
          <w:rFonts w:ascii="Twentieth Century" w:eastAsia="Twentieth Century" w:hAnsi="Twentieth Century" w:cs="Twentieth Century"/>
          <w:b/>
          <w:sz w:val="40"/>
          <w:szCs w:val="40"/>
        </w:rPr>
        <w:t xml:space="preserve"> PLAN DE TRABAJO</w:t>
      </w:r>
    </w:p>
    <w:p w:rsidR="007A2826" w:rsidRDefault="00680130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t>ESCUELA PRIMARIA: ___________</w:t>
      </w:r>
    </w:p>
    <w:p w:rsidR="007A2826" w:rsidRDefault="00680130">
      <w:pPr>
        <w:tabs>
          <w:tab w:val="center" w:pos="6786"/>
          <w:tab w:val="left" w:pos="11160"/>
        </w:tabs>
        <w:spacing w:after="0"/>
        <w:rPr>
          <w:rFonts w:ascii="Twentieth Century" w:eastAsia="Twentieth Century" w:hAnsi="Twentieth Century" w:cs="Twentieth Century"/>
          <w:color w:val="7F7F7F"/>
        </w:rPr>
      </w:pPr>
      <w:r>
        <w:rPr>
          <w:rFonts w:ascii="Twentieth Century" w:eastAsia="Twentieth Century" w:hAnsi="Twentieth Century" w:cs="Twentieth Century"/>
          <w:color w:val="7F7F7F"/>
        </w:rPr>
        <w:tab/>
        <w:t>CUARTO GRADO</w:t>
      </w:r>
    </w:p>
    <w:p w:rsidR="007A2826" w:rsidRDefault="00680130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MAESTRO (A) : _________________</w:t>
      </w:r>
    </w:p>
    <w:p w:rsidR="007A2826" w:rsidRDefault="007A2826">
      <w:pPr>
        <w:spacing w:after="0"/>
        <w:jc w:val="center"/>
        <w:rPr>
          <w:rFonts w:ascii="Twentieth Century" w:eastAsia="Twentieth Century" w:hAnsi="Twentieth Century" w:cs="Twentieth Century"/>
          <w:b/>
        </w:rPr>
      </w:pPr>
    </w:p>
    <w:p w:rsidR="007A2826" w:rsidRDefault="00680130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>Modalidad: (  ) presencial (  )virtual</w:t>
      </w:r>
    </w:p>
    <w:tbl>
      <w:tblPr>
        <w:tblStyle w:val="a"/>
        <w:tblW w:w="12152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1555"/>
        <w:gridCol w:w="1541"/>
        <w:gridCol w:w="6462"/>
        <w:gridCol w:w="2125"/>
      </w:tblGrid>
      <w:tr w:rsidR="007A2826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7A2826" w:rsidRDefault="007A2826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541" w:type="dxa"/>
            <w:tcBorders>
              <w:bottom w:val="dashed" w:sz="4" w:space="0" w:color="000000"/>
            </w:tcBorders>
            <w:shd w:val="clear" w:color="auto" w:fill="F4B083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462" w:type="dxa"/>
            <w:shd w:val="clear" w:color="auto" w:fill="F4B083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125" w:type="dxa"/>
            <w:shd w:val="clear" w:color="auto" w:fill="ED7D31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7A2826">
        <w:trPr>
          <w:trHeight w:val="563"/>
          <w:jc w:val="center"/>
        </w:trPr>
        <w:tc>
          <w:tcPr>
            <w:tcW w:w="469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7A2826" w:rsidRDefault="00680130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LUNES</w:t>
            </w:r>
          </w:p>
        </w:tc>
        <w:tc>
          <w:tcPr>
            <w:tcW w:w="15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Formación Cívica y Ética</w:t>
            </w:r>
          </w:p>
        </w:tc>
        <w:tc>
          <w:tcPr>
            <w:tcW w:w="15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Reconocimiento y ejercicio de derechos.</w:t>
            </w:r>
          </w:p>
        </w:tc>
        <w:tc>
          <w:tcPr>
            <w:tcW w:w="6462" w:type="dxa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Platicar con los alumnos sobre la importancia de los derechos de los niños, como pueden ejercerlos y en que momento se están violando. 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Que el alumno conteste las siguientes preguntas en su cuaderno: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Menciona ¿cuales de tus derechos conoces?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¿Por qué crees</w:t>
            </w:r>
            <w:r>
              <w:rPr>
                <w:rFonts w:ascii="Twentieth Century" w:eastAsia="Twentieth Century" w:hAnsi="Twentieth Century" w:cs="Twentieth Century"/>
              </w:rPr>
              <w:t xml:space="preserve"> que son importantes los derechos humanos?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¿Consideras que alguna vez han faltado a uno de tus derechos? ¿Por qué?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7A2826">
        <w:trPr>
          <w:trHeight w:val="419"/>
          <w:jc w:val="center"/>
        </w:trPr>
        <w:tc>
          <w:tcPr>
            <w:tcW w:w="469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Educación Socioemocional</w:t>
            </w:r>
          </w:p>
        </w:tc>
        <w:tc>
          <w:tcPr>
            <w:tcW w:w="15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Expresa su punto de vista y considera el de los demás.</w:t>
            </w:r>
          </w:p>
        </w:tc>
        <w:tc>
          <w:tcPr>
            <w:tcW w:w="6462" w:type="dxa"/>
          </w:tcPr>
          <w:p w:rsidR="007A2826" w:rsidRDefault="007A2826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Explicar a los alumnos el respeto a la opinión de los demás, la importancia de expresar sus puntos de vista y de participar en las decisiones colectivas.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Dibujar en el cuaderno un dialogo entre dos personas donde estén expresando sus puntos de vista de alg</w:t>
            </w:r>
            <w:r>
              <w:rPr>
                <w:rFonts w:ascii="Twentieth Century" w:eastAsia="Twentieth Century" w:hAnsi="Twentieth Century" w:cs="Twentieth Century"/>
              </w:rPr>
              <w:t>ún tema de tu interés,  por ejemplo:</w:t>
            </w:r>
          </w:p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noProof/>
              </w:rPr>
              <w:drawing>
                <wp:inline distT="0" distB="0" distL="0" distR="0">
                  <wp:extent cx="1530594" cy="1530594"/>
                  <wp:effectExtent l="0" t="0" r="0" b="0"/>
                  <wp:docPr id="3" name="image3.png" descr="12,422 Dos Personas Hablando Vectores, Ilustraciones y Gráficos - 123R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12,422 Dos Personas Hablando Vectores, Ilustraciones y Gráficos - 123R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94" cy="1530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vMerge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7A2826">
        <w:trPr>
          <w:trHeight w:val="3251"/>
          <w:jc w:val="center"/>
        </w:trPr>
        <w:tc>
          <w:tcPr>
            <w:tcW w:w="469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7A2826">
            <w:pPr>
              <w:rPr>
                <w:rFonts w:ascii="Twentieth Century" w:eastAsia="Twentieth Century" w:hAnsi="Twentieth Century" w:cs="Twentieth Century"/>
              </w:rPr>
            </w:pP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15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Argumenta la importancia del consumo diario de alimentos de los tres grupos representados en el Plato del Bien Comer y de agua simple potable para el crecimiento y el buen funcionamiento del cuerpo.</w:t>
            </w:r>
          </w:p>
        </w:tc>
        <w:tc>
          <w:tcPr>
            <w:tcW w:w="6462" w:type="dxa"/>
          </w:tcPr>
          <w:p w:rsidR="007A2826" w:rsidRDefault="007A2826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Analizar el Plato del Bien Comer y contestar las siguientes preguntas.</w:t>
            </w:r>
          </w:p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</w:rPr>
              <w:drawing>
                <wp:inline distT="0" distB="0" distL="0" distR="0">
                  <wp:extent cx="1938546" cy="177314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546" cy="1773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A2826" w:rsidRDefault="00680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¿Qué es el Plato del Bien Comer?</w:t>
            </w:r>
          </w:p>
          <w:p w:rsidR="007A2826" w:rsidRDefault="00680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¿Cuáles son los tres grupos de alimentos que presenta el Plato del Bien Comer?</w:t>
            </w:r>
          </w:p>
          <w:p w:rsidR="007A2826" w:rsidRDefault="00680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Según el Plato del Bien Comer, ¿qué alimentos debemos consumir en mayor</w:t>
            </w:r>
            <w:r>
              <w:rPr>
                <w:rFonts w:ascii="Twentieth Century" w:eastAsia="Twentieth Century" w:hAnsi="Twentieth Century" w:cs="Twentieth Century"/>
                <w:color w:val="000000"/>
              </w:rPr>
              <w:t xml:space="preserve"> cantidad?</w:t>
            </w:r>
          </w:p>
          <w:p w:rsidR="007A2826" w:rsidRDefault="00680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Según el Plato del Bien Comer, ¿qué alimentos debemos consumir en poca cantidad?</w:t>
            </w:r>
          </w:p>
          <w:p w:rsidR="007A2826" w:rsidRDefault="007A2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wentieth Century" w:eastAsia="Twentieth Century" w:hAnsi="Twentieth Century" w:cs="Twentieth Century"/>
                <w:color w:val="000000"/>
              </w:rPr>
            </w:pPr>
          </w:p>
        </w:tc>
        <w:tc>
          <w:tcPr>
            <w:tcW w:w="2125" w:type="dxa"/>
            <w:vMerge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color w:val="000000"/>
              </w:rPr>
            </w:pPr>
          </w:p>
        </w:tc>
      </w:tr>
      <w:tr w:rsidR="007A2826">
        <w:trPr>
          <w:trHeight w:val="70"/>
          <w:jc w:val="center"/>
        </w:trPr>
        <w:tc>
          <w:tcPr>
            <w:tcW w:w="469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7A2826" w:rsidRDefault="007A2826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Vida saludable</w:t>
            </w:r>
          </w:p>
        </w:tc>
        <w:tc>
          <w:tcPr>
            <w:tcW w:w="15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Alimentación, higiene, limpieza y actividad física.</w:t>
            </w:r>
          </w:p>
          <w:p w:rsidR="007A2826" w:rsidRDefault="007A2826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6462" w:type="dxa"/>
          </w:tcPr>
          <w:p w:rsidR="007A2826" w:rsidRDefault="007A2826">
            <w:pPr>
              <w:rPr>
                <w:rFonts w:ascii="Twentieth Century" w:eastAsia="Twentieth Century" w:hAnsi="Twentieth Century" w:cs="Twentieth Century"/>
              </w:rPr>
            </w:pP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Explicar a los alumnos lo esencial que serán los hábitos de higiene para el regreso a clases y así evitar la propagación del virus.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Dibujar 3 hábitos de higiene que realizas constantemente como medida preventiva para no contagiarte de COVID.</w:t>
            </w:r>
          </w:p>
        </w:tc>
        <w:tc>
          <w:tcPr>
            <w:tcW w:w="2125" w:type="dxa"/>
          </w:tcPr>
          <w:p w:rsidR="007A2826" w:rsidRDefault="007A2826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:rsidR="007A2826" w:rsidRDefault="007A2826">
      <w:pPr>
        <w:jc w:val="center"/>
        <w:rPr>
          <w:rFonts w:ascii="Twentieth Century" w:eastAsia="Twentieth Century" w:hAnsi="Twentieth Century" w:cs="Twentieth Century"/>
        </w:rPr>
      </w:pPr>
    </w:p>
    <w:tbl>
      <w:tblPr>
        <w:tblStyle w:val="a0"/>
        <w:tblW w:w="11721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1610"/>
        <w:gridCol w:w="1567"/>
        <w:gridCol w:w="6816"/>
        <w:gridCol w:w="1259"/>
      </w:tblGrid>
      <w:tr w:rsidR="007A2826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7A2826" w:rsidRDefault="007A2826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1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567" w:type="dxa"/>
            <w:tcBorders>
              <w:bottom w:val="dashed" w:sz="4" w:space="0" w:color="000000"/>
            </w:tcBorders>
            <w:shd w:val="clear" w:color="auto" w:fill="FFE599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816" w:type="dxa"/>
            <w:shd w:val="clear" w:color="auto" w:fill="FFE599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259" w:type="dxa"/>
            <w:shd w:val="clear" w:color="auto" w:fill="FFC000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7A2826">
        <w:trPr>
          <w:trHeight w:val="492"/>
          <w:jc w:val="center"/>
        </w:trPr>
        <w:tc>
          <w:tcPr>
            <w:tcW w:w="469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A2826" w:rsidRDefault="00680130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MAR</w:t>
            </w:r>
            <w:r>
              <w:rPr>
                <w:rFonts w:ascii="Twentieth Century" w:eastAsia="Twentieth Century" w:hAnsi="Twentieth Century" w:cs="Twentieth Century"/>
              </w:rPr>
              <w:lastRenderedPageBreak/>
              <w:t>TES</w:t>
            </w:r>
          </w:p>
        </w:tc>
        <w:tc>
          <w:tcPr>
            <w:tcW w:w="161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 xml:space="preserve"> Matemáticas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 xml:space="preserve">Utiliza el cálculo mental para obtener la </w:t>
            </w:r>
            <w:r>
              <w:rPr>
                <w:rFonts w:ascii="Twentieth Century" w:eastAsia="Twentieth Century" w:hAnsi="Twentieth Century" w:cs="Twentieth Century"/>
                <w:color w:val="000000"/>
              </w:rPr>
              <w:lastRenderedPageBreak/>
              <w:t>diferencia de dos números naturales de dos cifras.</w:t>
            </w:r>
          </w:p>
        </w:tc>
        <w:tc>
          <w:tcPr>
            <w:tcW w:w="6816" w:type="dxa"/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>Realizar operaciones básicas como es la resta de números de dos cifras.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</w:rPr>
              <w:lastRenderedPageBreak/>
              <w:drawing>
                <wp:inline distT="0" distB="0" distL="0" distR="0">
                  <wp:extent cx="2904222" cy="1523774"/>
                  <wp:effectExtent l="0" t="0" r="0" b="0"/>
                  <wp:docPr id="4" name="image4.png" descr="Calendari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alendario&#10;&#10;Descripción generada automá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222" cy="1523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Merge w:val="restart"/>
          </w:tcPr>
          <w:p w:rsidR="007A2826" w:rsidRDefault="007A2826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7A2826">
        <w:trPr>
          <w:trHeight w:val="757"/>
          <w:jc w:val="center"/>
        </w:trPr>
        <w:tc>
          <w:tcPr>
            <w:tcW w:w="469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Lengua materna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Identifica las características generales de un poema.</w:t>
            </w:r>
          </w:p>
        </w:tc>
        <w:tc>
          <w:tcPr>
            <w:tcW w:w="6816" w:type="dxa"/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Indagar en los conocimientos previos del alumno sobre el tema de los poemas, y responder las siguientes preguntas en la libreta: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¿Qué son los poemas?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¿Qué son las estrofas?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¿Qué es un verso?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Menciona dos características de los poemas. </w:t>
            </w:r>
          </w:p>
        </w:tc>
        <w:tc>
          <w:tcPr>
            <w:tcW w:w="1259" w:type="dxa"/>
            <w:vMerge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7A2826">
        <w:trPr>
          <w:trHeight w:val="450"/>
          <w:jc w:val="center"/>
        </w:trPr>
        <w:tc>
          <w:tcPr>
            <w:tcW w:w="469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</w:tcPr>
          <w:p w:rsidR="007A2826" w:rsidRDefault="007A2826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Identifica distintas formas de nutrición de plantas y animales y su relación con el medio natural</w:t>
            </w:r>
          </w:p>
        </w:tc>
        <w:tc>
          <w:tcPr>
            <w:tcW w:w="6816" w:type="dxa"/>
            <w:shd w:val="clear" w:color="auto" w:fill="auto"/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Platicar con el alumno sobre el proceso de la nutrición de plantas, hacer una lluvia de ideas acerca del tema “la fotosíntesis”.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Responde las siguientes preguntas en el cuaderno: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¿Sabes como se nutren las plantas?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¿En que consiste el proceso de fotosíntesis?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Dibujar el proceso de nutrición de las plantas.</w:t>
            </w:r>
          </w:p>
        </w:tc>
        <w:tc>
          <w:tcPr>
            <w:tcW w:w="1259" w:type="dxa"/>
            <w:shd w:val="clear" w:color="auto" w:fill="auto"/>
          </w:tcPr>
          <w:p w:rsidR="007A2826" w:rsidRDefault="007A2826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7A2826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right w:val="dashed" w:sz="4" w:space="0" w:color="000000"/>
            </w:tcBorders>
          </w:tcPr>
          <w:p w:rsidR="007A2826" w:rsidRDefault="007A2826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7A2826" w:rsidRDefault="007A2826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8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2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7A2826">
        <w:trPr>
          <w:trHeight w:val="1141"/>
          <w:jc w:val="center"/>
        </w:trPr>
        <w:tc>
          <w:tcPr>
            <w:tcW w:w="469" w:type="dxa"/>
            <w:vMerge w:val="restart"/>
            <w:tcBorders>
              <w:top w:val="nil"/>
            </w:tcBorders>
            <w:shd w:val="clear" w:color="auto" w:fill="ED7D31"/>
          </w:tcPr>
          <w:p w:rsidR="007A2826" w:rsidRDefault="00680130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MIÉRCOLES </w:t>
            </w:r>
          </w:p>
        </w:tc>
        <w:tc>
          <w:tcPr>
            <w:tcW w:w="1610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Matemáticas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 xml:space="preserve">Estimación de longitudes y su verificación usando la regla. Intención didáctica: Que los alumnos busquen </w:t>
            </w:r>
            <w:r>
              <w:rPr>
                <w:rFonts w:ascii="Twentieth Century" w:eastAsia="Twentieth Century" w:hAnsi="Twentieth Century" w:cs="Twentieth Century"/>
                <w:color w:val="000000"/>
              </w:rPr>
              <w:lastRenderedPageBreak/>
              <w:t>recursos para comparar longitudes o distancias.</w:t>
            </w:r>
          </w:p>
        </w:tc>
        <w:tc>
          <w:tcPr>
            <w:tcW w:w="6816" w:type="dxa"/>
            <w:tcBorders>
              <w:top w:val="dashed" w:sz="4" w:space="0" w:color="000000"/>
            </w:tcBorders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>Anotar en el recuadro del 1 al 6 para ordenar los huesos del más largo al más corto.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</w:rPr>
              <w:lastRenderedPageBreak/>
              <w:drawing>
                <wp:inline distT="0" distB="0" distL="0" distR="0">
                  <wp:extent cx="3618665" cy="2552451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665" cy="25524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A2826" w:rsidRDefault="007A2826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59" w:type="dxa"/>
            <w:vMerge w:val="restart"/>
            <w:tcBorders>
              <w:top w:val="dashed" w:sz="4" w:space="0" w:color="000000"/>
            </w:tcBorders>
          </w:tcPr>
          <w:p w:rsidR="007A2826" w:rsidRDefault="007A2826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7A2826">
        <w:trPr>
          <w:trHeight w:val="551"/>
          <w:jc w:val="center"/>
        </w:trPr>
        <w:tc>
          <w:tcPr>
            <w:tcW w:w="469" w:type="dxa"/>
            <w:vMerge/>
            <w:tcBorders>
              <w:top w:val="nil"/>
            </w:tcBorders>
            <w:shd w:val="clear" w:color="auto" w:fill="ED7D31"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Identifica distintas formas de nutrición de plantas y animales y su relación con el medio natural. Identifica distintas formas de nutrición de plantas y animales y su relación con el medio natural.</w:t>
            </w:r>
          </w:p>
        </w:tc>
        <w:tc>
          <w:tcPr>
            <w:tcW w:w="6816" w:type="dxa"/>
            <w:tcBorders>
              <w:top w:val="dashed" w:sz="4" w:space="0" w:color="000000"/>
            </w:tcBorders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Observar la siguiente imagen y anota en el recuadro de qué se alimenta cada uno de los seres vivos señalados.</w:t>
            </w:r>
          </w:p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</w:rPr>
              <w:drawing>
                <wp:inline distT="0" distB="0" distL="0" distR="0">
                  <wp:extent cx="2551017" cy="1658717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017" cy="16587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Merge/>
            <w:tcBorders>
              <w:top w:val="dashed" w:sz="4" w:space="0" w:color="000000"/>
            </w:tcBorders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7A2826">
        <w:trPr>
          <w:trHeight w:val="551"/>
          <w:jc w:val="center"/>
        </w:trPr>
        <w:tc>
          <w:tcPr>
            <w:tcW w:w="469" w:type="dxa"/>
            <w:tcBorders>
              <w:top w:val="nil"/>
            </w:tcBorders>
            <w:shd w:val="clear" w:color="auto" w:fill="ED7D31"/>
          </w:tcPr>
          <w:p w:rsidR="007A2826" w:rsidRDefault="007A2826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Lengua materna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t>Comprende el mensaje implícito y explícito de los refranes.</w:t>
            </w:r>
          </w:p>
        </w:tc>
        <w:tc>
          <w:tcPr>
            <w:tcW w:w="6816" w:type="dxa"/>
            <w:tcBorders>
              <w:top w:val="nil"/>
            </w:tcBorders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Explicar a los alumnos que los refranes tienen mensajes implícitos y explícitos, escribir en la libreta la siguiente table con el significado de uno de los siguientes refranes.</w:t>
            </w:r>
          </w:p>
          <w:p w:rsidR="007A2826" w:rsidRDefault="007A2826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</w:p>
          <w:tbl>
            <w:tblPr>
              <w:tblStyle w:val="a1"/>
              <w:tblW w:w="5731" w:type="dxa"/>
              <w:tblInd w:w="0" w:type="dxa"/>
              <w:tblBorders>
                <w:top w:val="single" w:sz="4" w:space="0" w:color="F4B083"/>
                <w:left w:val="single" w:sz="4" w:space="0" w:color="F4B083"/>
                <w:bottom w:val="single" w:sz="4" w:space="0" w:color="F4B083"/>
                <w:right w:val="single" w:sz="4" w:space="0" w:color="F4B083"/>
                <w:insideH w:val="single" w:sz="4" w:space="0" w:color="F4B083"/>
                <w:insideV w:val="single" w:sz="4" w:space="0" w:color="F4B08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2866"/>
            </w:tblGrid>
            <w:tr w:rsidR="007A2826" w:rsidTr="007A282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5" w:type="dxa"/>
                </w:tcPr>
                <w:p w:rsidR="007A2826" w:rsidRDefault="00680130">
                  <w:pPr>
                    <w:jc w:val="both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color w:val="000000"/>
                      <w:sz w:val="20"/>
                      <w:szCs w:val="20"/>
                    </w:rPr>
                    <w:t xml:space="preserve">Refran </w:t>
                  </w:r>
                </w:p>
              </w:tc>
              <w:tc>
                <w:tcPr>
                  <w:tcW w:w="2866" w:type="dxa"/>
                </w:tcPr>
                <w:p w:rsidR="007A2826" w:rsidRDefault="00680130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color w:val="000000"/>
                      <w:sz w:val="20"/>
                      <w:szCs w:val="20"/>
                    </w:rPr>
                    <w:t xml:space="preserve">Significado </w:t>
                  </w:r>
                </w:p>
              </w:tc>
            </w:tr>
            <w:tr w:rsidR="007A2826" w:rsidTr="007A28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5" w:type="dxa"/>
                </w:tcPr>
                <w:p w:rsidR="007A2826" w:rsidRDefault="00680130">
                  <w:pPr>
                    <w:jc w:val="both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color w:val="000000"/>
                      <w:sz w:val="20"/>
                      <w:szCs w:val="20"/>
                    </w:rPr>
                    <w:lastRenderedPageBreak/>
                    <w:t>No hay mal que por bien no venga</w:t>
                  </w:r>
                </w:p>
              </w:tc>
              <w:tc>
                <w:tcPr>
                  <w:tcW w:w="2866" w:type="dxa"/>
                </w:tcPr>
                <w:p w:rsidR="007A2826" w:rsidRDefault="007A282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2826" w:rsidTr="007A282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5" w:type="dxa"/>
                </w:tcPr>
                <w:p w:rsidR="007A2826" w:rsidRDefault="00680130">
                  <w:pPr>
                    <w:jc w:val="both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color w:val="000000"/>
                      <w:sz w:val="20"/>
                      <w:szCs w:val="20"/>
                    </w:rPr>
                    <w:t>De tal palo tal astilla</w:t>
                  </w:r>
                </w:p>
              </w:tc>
              <w:tc>
                <w:tcPr>
                  <w:tcW w:w="2866" w:type="dxa"/>
                </w:tcPr>
                <w:p w:rsidR="007A2826" w:rsidRDefault="007A282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2826" w:rsidTr="007A28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5" w:type="dxa"/>
                </w:tcPr>
                <w:p w:rsidR="007A2826" w:rsidRDefault="00680130">
                  <w:pPr>
                    <w:jc w:val="both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color w:val="000000"/>
                      <w:sz w:val="20"/>
                      <w:szCs w:val="20"/>
                    </w:rPr>
                    <w:t>No hay peor ciego que el que no quiere ver</w:t>
                  </w:r>
                </w:p>
              </w:tc>
              <w:tc>
                <w:tcPr>
                  <w:tcW w:w="2866" w:type="dxa"/>
                </w:tcPr>
                <w:p w:rsidR="007A2826" w:rsidRDefault="007A282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2826" w:rsidTr="007A282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5" w:type="dxa"/>
                </w:tcPr>
                <w:p w:rsidR="007A2826" w:rsidRDefault="00680130">
                  <w:pPr>
                    <w:jc w:val="both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color w:val="000000"/>
                      <w:sz w:val="20"/>
                      <w:szCs w:val="20"/>
                    </w:rPr>
                    <w:t>A caballo regalado no se le miran los dientes</w:t>
                  </w:r>
                </w:p>
              </w:tc>
              <w:tc>
                <w:tcPr>
                  <w:tcW w:w="2866" w:type="dxa"/>
                </w:tcPr>
                <w:p w:rsidR="007A2826" w:rsidRDefault="007A282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A2826" w:rsidRDefault="007A2826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</w:p>
          <w:p w:rsidR="007A2826" w:rsidRDefault="007A2826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7A2826" w:rsidRDefault="007A2826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7A2826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7A2826" w:rsidRDefault="007A2826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56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E599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816" w:type="dxa"/>
            <w:shd w:val="clear" w:color="auto" w:fill="FFE599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259" w:type="dxa"/>
            <w:shd w:val="clear" w:color="auto" w:fill="FFC000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7A2826">
        <w:trPr>
          <w:trHeight w:val="552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A2826" w:rsidRDefault="00680130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JUEVES</w:t>
            </w:r>
          </w:p>
        </w:tc>
        <w:tc>
          <w:tcPr>
            <w:tcW w:w="1610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Formación cívica y ética 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Establece metas a corto y mediano plazos para obtener un mayor desarrollo en su aprendizaje</w:t>
            </w:r>
          </w:p>
        </w:tc>
        <w:tc>
          <w:tcPr>
            <w:tcW w:w="6816" w:type="dxa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Platicar con los alumnos sobre las metas de cada uno de ellos, la importancia que es plantearse logros a cumplir a corto y a mediano plazo.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Contestar las siguientes preguntas en la libreta:</w:t>
            </w:r>
          </w:p>
          <w:p w:rsidR="007A2826" w:rsidRDefault="00680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¿Cuáles son tus metas para esta semana? Escribe dos.</w:t>
            </w:r>
          </w:p>
          <w:p w:rsidR="007A2826" w:rsidRDefault="00680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¿Cuáles son tus metas para este ciclo escolar? Escribe dos.</w:t>
            </w:r>
          </w:p>
          <w:p w:rsidR="007A2826" w:rsidRDefault="00680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¿Qué metas compartes con quienes te rodean? Escribe una.</w:t>
            </w:r>
          </w:p>
          <w:p w:rsidR="007A2826" w:rsidRDefault="00680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 xml:space="preserve">¿Qué acciones piensas realizar para </w:t>
            </w:r>
            <w:r>
              <w:rPr>
                <w:rFonts w:ascii="Twentieth Century" w:eastAsia="Twentieth Century" w:hAnsi="Twentieth Century" w:cs="Twentieth Century"/>
                <w:color w:val="000000"/>
              </w:rPr>
              <w:t>conseguir las metas más próximas?</w:t>
            </w:r>
          </w:p>
        </w:tc>
        <w:tc>
          <w:tcPr>
            <w:tcW w:w="1259" w:type="dxa"/>
            <w:vMerge w:val="restart"/>
          </w:tcPr>
          <w:p w:rsidR="007A2826" w:rsidRDefault="007A2826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7A2826">
        <w:trPr>
          <w:trHeight w:val="551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Matemáticas 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Resolución de problemas sencillos de suma o resta de fracciones (medios, cuartos, octavos).</w:t>
            </w:r>
          </w:p>
        </w:tc>
        <w:tc>
          <w:tcPr>
            <w:tcW w:w="6816" w:type="dxa"/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Explicar la suma y resta de fracciones sencillas a los alumnos.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Resolver las siguientes sumas de fracciones en tu libreta: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</w:rPr>
              <w:drawing>
                <wp:inline distT="0" distB="0" distL="0" distR="0">
                  <wp:extent cx="3427533" cy="1288925"/>
                  <wp:effectExtent l="0" t="0" r="0" b="0"/>
                  <wp:docPr id="9" name="image9.png" descr="Forma, Rectángul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orma, Rectángulo&#10;&#10;Descripción generada automáticament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533" cy="1288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A2826" w:rsidRDefault="007A2826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59" w:type="dxa"/>
            <w:vMerge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7A2826">
        <w:trPr>
          <w:trHeight w:val="545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Lengua materna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Conoce la función y las características gráficas de los </w:t>
            </w:r>
            <w:r>
              <w:rPr>
                <w:rFonts w:ascii="Twentieth Century" w:eastAsia="Twentieth Century" w:hAnsi="Twentieth Century" w:cs="Twentieth Century"/>
              </w:rPr>
              <w:lastRenderedPageBreak/>
              <w:t>folletos y los emplea como medio para informar a otros.</w:t>
            </w:r>
          </w:p>
        </w:tc>
        <w:tc>
          <w:tcPr>
            <w:tcW w:w="6816" w:type="dxa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 xml:space="preserve">Indagar el conocimientos previos del alumno con una lluvia de ideas acerca de los folletos como medio de información. 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Dibujar en el cuaderno un folleto sobre cualquier de su interés. Recuerda hacerlo llamativo para el lector. </w:t>
            </w:r>
          </w:p>
          <w:p w:rsidR="007A2826" w:rsidRDefault="007A2826">
            <w:pPr>
              <w:rPr>
                <w:rFonts w:ascii="Twentieth Century" w:eastAsia="Twentieth Century" w:hAnsi="Twentieth Century" w:cs="Twentieth Century"/>
              </w:rPr>
            </w:pPr>
          </w:p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</w:rPr>
              <w:drawing>
                <wp:inline distT="0" distB="0" distL="0" distR="0">
                  <wp:extent cx="3110127" cy="1732035"/>
                  <wp:effectExtent l="0" t="0" r="0" b="0"/>
                  <wp:docPr id="8" name="image8.png" descr="Las características de los folletos informativos. Aprende en Casa II |  UN1ÓN | Pueb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Las características de los folletos informativos. Aprende en Casa II |  UN1ÓN | Puebl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127" cy="173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A2826" w:rsidRDefault="007A2826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59" w:type="dxa"/>
            <w:vMerge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7A2826">
        <w:trPr>
          <w:trHeight w:val="227"/>
          <w:jc w:val="center"/>
        </w:trPr>
        <w:tc>
          <w:tcPr>
            <w:tcW w:w="469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7A2826" w:rsidRDefault="007A2826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56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7CBAC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816" w:type="dxa"/>
            <w:shd w:val="clear" w:color="auto" w:fill="F7CBAC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259" w:type="dxa"/>
            <w:shd w:val="clear" w:color="auto" w:fill="ED7D31"/>
            <w:vAlign w:val="center"/>
          </w:tcPr>
          <w:p w:rsidR="007A2826" w:rsidRDefault="00680130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7A2826">
        <w:trPr>
          <w:trHeight w:val="722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</w:tcBorders>
            <w:shd w:val="clear" w:color="auto" w:fill="ED7D31"/>
          </w:tcPr>
          <w:p w:rsidR="007A2826" w:rsidRDefault="00680130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VIERNES</w:t>
            </w:r>
          </w:p>
        </w:tc>
        <w:tc>
          <w:tcPr>
            <w:tcW w:w="161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</w:rPr>
              <w:t>Matemáticas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>Ubicación de números naturales en la recta numérica a partir de la posición de otros dos</w:t>
            </w:r>
          </w:p>
        </w:tc>
        <w:tc>
          <w:tcPr>
            <w:tcW w:w="6816" w:type="dxa"/>
          </w:tcPr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Escribe la fracción que está marcada en cada recta y anota su nombre.</w:t>
            </w: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4196037" cy="900914"/>
                  <wp:effectExtent l="0" t="0" r="0" b="0"/>
                  <wp:docPr id="12" name="image12.png" descr="Diagra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Diagrama&#10;&#10;Descripción generada automáticament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037" cy="9009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Merge w:val="restart"/>
          </w:tcPr>
          <w:p w:rsidR="007A2826" w:rsidRDefault="007A2826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7A2826" w:rsidRDefault="00680130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7A2826">
        <w:trPr>
          <w:trHeight w:val="309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  <w:sz w:val="16"/>
                <w:szCs w:val="16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16"/>
                <w:szCs w:val="16"/>
              </w:rPr>
              <w:t>Lengua Materna</w:t>
            </w:r>
          </w:p>
          <w:p w:rsidR="007A2826" w:rsidRDefault="007A2826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Conoce la función y las características gráficas de los folletos y los emplea como medio para informar a otros.</w:t>
            </w:r>
          </w:p>
        </w:tc>
        <w:tc>
          <w:tcPr>
            <w:tcW w:w="6816" w:type="dxa"/>
          </w:tcPr>
          <w:p w:rsidR="007A2826" w:rsidRDefault="007A2826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Indagar en los conocimientos previos del alumno ¿Conoces o haz visto folletos?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Responder las siguientes preguntas en la libreta: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es un folleto?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¿Para que nos sirve realizar un folleto?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¿Cuáles son las características de los folletos?</w:t>
            </w:r>
          </w:p>
          <w:p w:rsidR="007A2826" w:rsidRDefault="00680130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Menciona 3 clases de folleto que haz leído.</w:t>
            </w:r>
          </w:p>
          <w:p w:rsidR="007A2826" w:rsidRDefault="007A2826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7A2826">
        <w:trPr>
          <w:trHeight w:val="1193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A2826" w:rsidRDefault="007A2826">
            <w:pPr>
              <w:rPr>
                <w:sz w:val="20"/>
                <w:szCs w:val="20"/>
              </w:rPr>
            </w:pPr>
          </w:p>
          <w:p w:rsidR="007A2826" w:rsidRDefault="00680130">
            <w:pPr>
              <w:rPr>
                <w:sz w:val="20"/>
                <w:szCs w:val="20"/>
              </w:rPr>
            </w:pPr>
            <w:r>
              <w:t xml:space="preserve">Educación socioemocional </w:t>
            </w: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rPr>
                <w:sz w:val="20"/>
                <w:szCs w:val="20"/>
              </w:rPr>
            </w:pPr>
            <w:r>
              <w:t>Identifica grupos o personas que han sido susceptibles de discriminación o maltrato, y evalúa posibles acciones y obstáculos para aliviar esta injusticia.</w:t>
            </w:r>
          </w:p>
        </w:tc>
        <w:tc>
          <w:tcPr>
            <w:tcW w:w="6816" w:type="dxa"/>
          </w:tcPr>
          <w:p w:rsidR="007A2826" w:rsidRDefault="007A2826">
            <w:pPr>
              <w:tabs>
                <w:tab w:val="left" w:pos="3546"/>
              </w:tabs>
              <w:rPr>
                <w:sz w:val="20"/>
                <w:szCs w:val="20"/>
              </w:rPr>
            </w:pPr>
          </w:p>
          <w:p w:rsidR="007A2826" w:rsidRDefault="007A2826">
            <w:pPr>
              <w:tabs>
                <w:tab w:val="left" w:pos="3546"/>
              </w:tabs>
              <w:rPr>
                <w:sz w:val="20"/>
                <w:szCs w:val="20"/>
              </w:rPr>
            </w:pPr>
          </w:p>
          <w:p w:rsidR="007A2826" w:rsidRDefault="00680130">
            <w:pPr>
              <w:tabs>
                <w:tab w:val="left" w:pos="35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Platicar con los alumnos sobre la discriminación, ¿haz escuchado hablar sobre la discriminación? ¿Qué casos conoces de discriminación? ¿Cómo podemos evitarlo?</w:t>
            </w:r>
          </w:p>
          <w:p w:rsidR="007A2826" w:rsidRDefault="00680130">
            <w:pPr>
              <w:tabs>
                <w:tab w:val="left" w:pos="35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cuaderno realizar un cartel sobre la NO discriminación o No al maltrato.</w:t>
            </w:r>
          </w:p>
        </w:tc>
        <w:tc>
          <w:tcPr>
            <w:tcW w:w="1259" w:type="dxa"/>
            <w:vMerge/>
          </w:tcPr>
          <w:p w:rsidR="007A2826" w:rsidRDefault="007A2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A2826">
        <w:trPr>
          <w:trHeight w:val="2415"/>
          <w:jc w:val="center"/>
        </w:trPr>
        <w:tc>
          <w:tcPr>
            <w:tcW w:w="469" w:type="dxa"/>
            <w:shd w:val="clear" w:color="auto" w:fill="ED7D31"/>
          </w:tcPr>
          <w:p w:rsidR="007A2826" w:rsidRDefault="007A2826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Vida Saludable </w:t>
            </w:r>
          </w:p>
          <w:p w:rsidR="007A2826" w:rsidRDefault="007A282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7A2826" w:rsidRDefault="0068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Alimentación, higiene, limpieza y actividad física</w:t>
            </w:r>
          </w:p>
        </w:tc>
        <w:tc>
          <w:tcPr>
            <w:tcW w:w="6816" w:type="dxa"/>
          </w:tcPr>
          <w:p w:rsidR="007A2826" w:rsidRDefault="00680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Dialogar los beneficios que tiene hacer actividades fisicas para la salud con el alumno, la importancia de hacer y no hacer.</w:t>
            </w:r>
          </w:p>
          <w:p w:rsidR="007A2826" w:rsidRDefault="00680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Actividad:</w:t>
            </w:r>
          </w:p>
          <w:p w:rsidR="007A2826" w:rsidRDefault="00680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una lista de las actividades físicas que te gusta realizar</w:t>
            </w:r>
            <w:r>
              <w:rPr>
                <w:sz w:val="20"/>
                <w:szCs w:val="20"/>
              </w:rPr>
              <w:t>, por último, responde la siguiente pregunta.</w:t>
            </w:r>
          </w:p>
          <w:p w:rsidR="007A2826" w:rsidRDefault="00680130">
            <w:r>
              <w:rPr>
                <w:sz w:val="20"/>
                <w:szCs w:val="20"/>
              </w:rPr>
              <w:t>¿Qué beneficios tiene hacer ejercicio para tu cuerpo?</w:t>
            </w:r>
          </w:p>
        </w:tc>
        <w:tc>
          <w:tcPr>
            <w:tcW w:w="1259" w:type="dxa"/>
          </w:tcPr>
          <w:p w:rsidR="007A2826" w:rsidRDefault="007A2826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:rsidR="007A2826" w:rsidRDefault="007A2826">
      <w:pPr>
        <w:jc w:val="both"/>
        <w:rPr>
          <w:rFonts w:ascii="Twentieth Century" w:eastAsia="Twentieth Century" w:hAnsi="Twentieth Century" w:cs="Twentieth Century"/>
        </w:rPr>
      </w:pPr>
    </w:p>
    <w:p w:rsidR="007A2826" w:rsidRDefault="00680130">
      <w:pPr>
        <w:jc w:val="both"/>
        <w:rPr>
          <w:rFonts w:ascii="Twentieth Century" w:eastAsia="Twentieth Century" w:hAnsi="Twentieth Century" w:cs="Twentieth Century"/>
          <w:color w:val="1F3864"/>
          <w:sz w:val="28"/>
          <w:szCs w:val="28"/>
        </w:rPr>
      </w:pPr>
      <w:r>
        <w:rPr>
          <w:noProof/>
        </w:rPr>
        <w:drawing>
          <wp:inline distT="0" distB="0" distL="0" distR="0">
            <wp:extent cx="518089" cy="450858"/>
            <wp:effectExtent l="0" t="0" r="0" b="0"/>
            <wp:docPr id="10" name="image10.png" descr="Immersium Studio | fb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Immersium Studio | fb-logo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wentieth Century" w:eastAsia="Twentieth Century" w:hAnsi="Twentieth Century" w:cs="Twentieth Century"/>
          <w:color w:val="1F3864"/>
          <w:sz w:val="28"/>
          <w:szCs w:val="28"/>
        </w:rPr>
        <w:t xml:space="preserve">MISS PLANEACIONES </w:t>
      </w:r>
      <w:r>
        <w:rPr>
          <w:noProof/>
        </w:rPr>
        <w:drawing>
          <wp:inline distT="0" distB="0" distL="0" distR="0">
            <wp:extent cx="621668" cy="480752"/>
            <wp:effectExtent l="0" t="0" r="0" b="0"/>
            <wp:docPr id="11" name="image11.png" descr="Me gusta (Facebook) - Wikipedia, la enciclopedia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Me gusta (Facebook) - Wikipedia, la enciclopedia libr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wentieth Century" w:eastAsia="Twentieth Century" w:hAnsi="Twentieth Century" w:cs="Twentieth Century"/>
          <w:color w:val="1F3864"/>
          <w:sz w:val="28"/>
          <w:szCs w:val="28"/>
        </w:rPr>
        <w:t xml:space="preserve"> </w:t>
      </w:r>
    </w:p>
    <w:p w:rsidR="007A2826" w:rsidRDefault="00680130">
      <w:pPr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 xml:space="preserve">Si te gustan nuestras planeaciones regálanos un like en nuestra página de Facebook.  </w:t>
      </w:r>
    </w:p>
    <w:p w:rsidR="007A2826" w:rsidRDefault="00680130">
      <w:pPr>
        <w:jc w:val="both"/>
        <w:rPr>
          <w:rFonts w:ascii="Twentieth Century" w:eastAsia="Twentieth Century" w:hAnsi="Twentieth Century" w:cs="Twentieth Century"/>
        </w:rPr>
      </w:pPr>
      <w:hyperlink r:id="rId17">
        <w:r>
          <w:rPr>
            <w:rFonts w:ascii="Twentieth Century" w:eastAsia="Twentieth Century" w:hAnsi="Twentieth Century" w:cs="Twentieth Century"/>
            <w:color w:val="0563C1"/>
            <w:u w:val="single"/>
          </w:rPr>
          <w:t>https://www.facebook.com/Miss-Planeaciones-100780128994508/</w:t>
        </w:r>
      </w:hyperlink>
    </w:p>
    <w:p w:rsidR="007A2826" w:rsidRDefault="007A2826">
      <w:pPr>
        <w:jc w:val="both"/>
        <w:rPr>
          <w:rFonts w:ascii="Twentieth Century" w:eastAsia="Twentieth Century" w:hAnsi="Twentieth Century" w:cs="Twentieth Century"/>
        </w:rPr>
      </w:pPr>
    </w:p>
    <w:sectPr w:rsidR="007A2826">
      <w:pgSz w:w="15840" w:h="12240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C3425"/>
    <w:multiLevelType w:val="multilevel"/>
    <w:tmpl w:val="66B8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E12DF"/>
    <w:multiLevelType w:val="multilevel"/>
    <w:tmpl w:val="2E64F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26"/>
    <w:rsid w:val="00680130"/>
    <w:rsid w:val="007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B6D28-3DB5-4E8C-93FD-04A5247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EEFC0"/>
    </w:tcPr>
  </w:style>
  <w:style w:type="table" w:customStyle="1" w:styleId="a0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EEFC0"/>
    </w:tcPr>
  </w:style>
  <w:style w:type="table" w:customStyle="1" w:styleId="a1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EEF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19D6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facebook.com/Miss-Planeaciones-100780128994508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2021-08-29T00:38:00Z</dcterms:created>
  <dcterms:modified xsi:type="dcterms:W3CDTF">2021-08-29T00:38:00Z</dcterms:modified>
</cp:coreProperties>
</file>