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99"/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color w:val="44546a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44546a"/>
          <w:rtl w:val="0"/>
        </w:rPr>
        <w:t xml:space="preserve"> SEMANA DEL 25 AL 29 DE ENERO DE 2021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b="0" l="0" r="0" t="0"/>
            <wp:wrapNone/>
            <wp:docPr descr="ARCOIRIS TODO VA A SALIR BIEN PARA COLOREAR - Imagina, Crea, Educa" id="13" name="image13.png"/>
            <a:graphic>
              <a:graphicData uri="http://schemas.openxmlformats.org/drawingml/2006/picture">
                <pic:pic>
                  <pic:nvPicPr>
                    <pic:cNvPr descr="ARCOIRIS TODO VA A SALIR BIEN PARA COLOREAR - Imagina, Crea, Educa" id="0" name="image1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1025525</wp:posOffset>
            </wp:positionH>
            <wp:positionV relativeFrom="paragraph">
              <wp:posOffset>-348614</wp:posOffset>
            </wp:positionV>
            <wp:extent cx="1857375" cy="1497965"/>
            <wp:effectExtent b="0" l="0" r="0" t="0"/>
            <wp:wrapNone/>
            <wp:docPr descr="C:\Users\pc\Downloads\WhatsApp Image 2021-01-05 at 17.49.11.jpeg" id="1" name="image1.png"/>
            <a:graphic>
              <a:graphicData uri="http://schemas.openxmlformats.org/drawingml/2006/picture">
                <pic:pic>
                  <pic:nvPicPr>
                    <pic:cNvPr descr="C:\Users\pc\Downloads\WhatsApp Image 2021-01-05 at 17.49.11.jpe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97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40"/>
          <w:szCs w:val="40"/>
          <w:rtl w:val="0"/>
        </w:rPr>
        <w:t xml:space="preserve"> PLAN DE TRABAJO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ESCUELA PRIMARIA: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6786"/>
          <w:tab w:val="left" w:pos="11160"/>
        </w:tabs>
        <w:spacing w:after="0" w:lineRule="auto"/>
        <w:rPr>
          <w:rFonts w:ascii="Twentieth Century" w:cs="Twentieth Century" w:eastAsia="Twentieth Century" w:hAnsi="Twentieth Century"/>
          <w:color w:val="7f7f7f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7f7f7f"/>
          <w:rtl w:val="0"/>
        </w:rPr>
        <w:tab/>
        <w:t xml:space="preserve">CUARTO GRADO</w:t>
        <w:tab/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MAESTRO (A) : _________________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NOTA: si aún no tienes los libros de textos, soló realiza las actividades del cuaderno.</w:t>
      </w:r>
    </w:p>
    <w:tbl>
      <w:tblPr>
        <w:tblStyle w:val="Table1"/>
        <w:tblW w:w="13473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78"/>
        <w:gridCol w:w="1433"/>
        <w:gridCol w:w="2436"/>
        <w:gridCol w:w="2013"/>
        <w:gridCol w:w="4750"/>
        <w:gridCol w:w="2363"/>
        <w:tblGridChange w:id="0">
          <w:tblGrid>
            <w:gridCol w:w="478"/>
            <w:gridCol w:w="1433"/>
            <w:gridCol w:w="2436"/>
            <w:gridCol w:w="2013"/>
            <w:gridCol w:w="4750"/>
            <w:gridCol w:w="2363"/>
          </w:tblGrid>
        </w:tblGridChange>
      </w:tblGrid>
      <w:tr>
        <w:trPr>
          <w:trHeight w:val="2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563" w:hRule="atLeast"/>
        </w:trPr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0E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Formación Cívica y Ética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Reconoce que en nuestro país hay una gran diversidad cultural y lingüística que se expresa en los conocimientos y las costumbres de los pueblos indígenas y afromexicanos, y su aporte en la vida cotidiana.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Derechos humanos de los pueblos indígenas y afromexicanos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Lee la siguiente información y contesta las preguntas v en el cuaderno:</w:t>
            </w:r>
          </w:p>
          <w:p w:rsidR="00000000" w:rsidDel="00000000" w:rsidP="00000000" w:rsidRDefault="00000000" w:rsidRPr="00000000" w14:paraId="0000001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2879607" cy="1409897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607" cy="14098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¿En Mexico se respetan los derechos de todos por igual? ¿Por qué?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¿Por qué deben respetarse los derechos de los pueblos indígenas y de los afromexicanos?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 podemos hacer para evitar la discriminación por origen, color de piel o lengua?</w:t>
            </w:r>
          </w:p>
          <w:p w:rsidR="00000000" w:rsidDel="00000000" w:rsidP="00000000" w:rsidRDefault="00000000" w:rsidRPr="00000000" w14:paraId="0000001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y analiza la pagina 60 y 61 de tu libro de formación.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1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419" w:hRule="atLeast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Describe cómo la emoción básica de la sorpresa le permite concentrar su atención ante situaciones sociales novedosas.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Y tú, ¿reconoces la emoción sorpresa?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 las noticias o situaciones que no nos esperamos les denominamos sorpresas, pueden dejarnos con la boca abierta.</w:t>
            </w:r>
          </w:p>
          <w:p w:rsidR="00000000" w:rsidDel="00000000" w:rsidP="00000000" w:rsidRDefault="00000000" w:rsidRPr="00000000" w14:paraId="0000002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Piensa en una situación donde hayas experimentado la emoción de la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color w:val="ff0000"/>
                <w:sz w:val="20"/>
                <w:szCs w:val="20"/>
                <w:rtl w:val="0"/>
              </w:rPr>
              <w:t xml:space="preserve">sorpresa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en el transcurso de tu vida, escríbela en tu libreta con su respectivo dibujo.</w:t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Explica que las relaciones entre los factores físicos (agua, suelo, aire y Sol) y biológicos (seres vivos) conforman el ecosistema y mantienen su estabilidad.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Los factores físicos y biológicos de los ecosistemas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y escribe la siguiente información en tu libreta: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wentieth Century" w:cs="Twentieth Century" w:eastAsia="Twentieth Century" w:hAnsi="Twentieth Century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ff0000"/>
                <w:sz w:val="20"/>
                <w:szCs w:val="20"/>
                <w:rtl w:val="0"/>
              </w:rPr>
              <w:t xml:space="preserve">Un ecosistema está formado por un conjunto de seres vivos que interactúan para alimentarse, protegerse y reproducirse, y comparten factores físicos como el agua, el aire, el suelo, la luz del Sol y la temperatura.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wentieth Century" w:cs="Twentieth Century" w:eastAsia="Twentieth Century" w:hAnsi="Twentieth Century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ff0000"/>
                <w:sz w:val="20"/>
                <w:szCs w:val="20"/>
                <w:rtl w:val="0"/>
              </w:rPr>
              <w:t xml:space="preserve">Hay ecosistemas terrestres, como las selvas, los bosques y los desiertos, y acuáticos, como el mar los lagos y los ríos.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wentieth Century" w:cs="Twentieth Century" w:eastAsia="Twentieth Century" w:hAnsi="Twentieth Century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ff0000"/>
                <w:sz w:val="20"/>
                <w:szCs w:val="20"/>
                <w:rtl w:val="0"/>
              </w:rPr>
              <w:t xml:space="preserve">Cualquier cambio que se produzca en un ecosistema afecta a todos sus miembros. Por eso deben llevarse a cabo acciones para preservar a los seres vivos y las condiciones de los ecosistemas.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wentieth Century" w:cs="Twentieth Century" w:eastAsia="Twentieth Century" w:hAnsi="Twentieth Century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y analiza las paginas 58 y 59 de tu libro de ciencias.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32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Vida saludable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Mi compromiso con la limpieza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Colabora en acciones de higiene y limpieza en casa, escuela y comunidad para propiciar el bienestar común.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¿Colaboras en acciones de higiene en tu casa o comunidad? Piensa y escribe acciones que puedes hacer a tu edad para mantener limpio tu hogar o tu comunidad.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40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69"/>
        <w:gridCol w:w="1429"/>
        <w:gridCol w:w="1652"/>
        <w:gridCol w:w="1385"/>
        <w:gridCol w:w="6801"/>
        <w:gridCol w:w="2204"/>
        <w:tblGridChange w:id="0">
          <w:tblGrid>
            <w:gridCol w:w="469"/>
            <w:gridCol w:w="1429"/>
            <w:gridCol w:w="1652"/>
            <w:gridCol w:w="1385"/>
            <w:gridCol w:w="6801"/>
            <w:gridCol w:w="2204"/>
          </w:tblGrid>
        </w:tblGridChange>
      </w:tblGrid>
      <w:tr>
        <w:trPr>
          <w:trHeight w:val="2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689" w:hRule="atLeast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42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Historia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Ubica las rutas de los viajes de Cristóbal Colón, las expediciones españolas y el proceso de conquista, y los ordena cronológicamente, aplicando los términos de año, década y siglo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Un océano entre Europa y América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3600"/>
              </w:tabs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3600"/>
              </w:tabs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la pagina 78 y 79 de tu libro de historia.</w:t>
            </w:r>
          </w:p>
          <w:p w:rsidR="00000000" w:rsidDel="00000000" w:rsidP="00000000" w:rsidRDefault="00000000" w:rsidRPr="00000000" w14:paraId="00000048">
            <w:pPr>
              <w:tabs>
                <w:tab w:val="left" w:pos="3600"/>
              </w:tabs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  <w:drawing>
                <wp:inline distB="0" distT="0" distL="0" distR="0">
                  <wp:extent cx="4185534" cy="1085938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6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534" cy="10859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4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</w:t>
            </w:r>
          </w:p>
        </w:tc>
      </w:tr>
      <w:tr>
        <w:trPr>
          <w:trHeight w:val="499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Identifica las características de los cuerpos geométricos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Figuras para decorar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Dibuja en tu libreta los siguientes cuerpos geométricos y escribe el nombre de cada uno.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2667372" cy="2095793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2" cy="20957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 las pagina 59,60 y 61 de tu libro de matemáticas.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7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Lengua materna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Comprende el mensaje implícito y explícito de los refranes.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Camarón que se duerme...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Los refranes son frases de la sabiduría popular, que suelen contemplar un consejo o una moraleja. </w:t>
            </w:r>
          </w:p>
          <w:p w:rsidR="00000000" w:rsidDel="00000000" w:rsidP="00000000" w:rsidRDefault="00000000" w:rsidRPr="00000000" w14:paraId="0000005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Completa los siguientes refranes: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palabras necias _____________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hombre propone y ____________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Camaron que se duerme _________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león no es _________________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Perro que ladra _____________</w:t>
            </w:r>
          </w:p>
          <w:p w:rsidR="00000000" w:rsidDel="00000000" w:rsidP="00000000" w:rsidRDefault="00000000" w:rsidRPr="00000000" w14:paraId="0000006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la pagina 48 y 49 de tu libro de español.</w:t>
            </w:r>
          </w:p>
          <w:p w:rsidR="00000000" w:rsidDel="00000000" w:rsidP="00000000" w:rsidRDefault="00000000" w:rsidRPr="00000000" w14:paraId="0000006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6" w:hRule="atLeast"/>
        </w:trPr>
        <w:tc>
          <w:tcPr>
            <w:tcBorders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67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Geografía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Compara la distribución de la población rural y la urbana en México.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Características de las localidades rurales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Entidades con mayor y menor población urbana y rural.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458601" cy="1662534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01" cy="1662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Identifica las cinco entidades con mayor población urbana y ubicalas en el mapa de mexico de color azul y las cinco entidades con menor población urbana de  color verde.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la pagina 92, 93 y 94 de tu libro de geografía.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1156" w:hRule="atLeast"/>
        </w:trPr>
        <w:tc>
          <w:tcPr>
            <w:vMerge w:val="restart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79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MIÉRCOLES 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Identifica las caras de objetos y cuerpos geométricos, a partir de sus representaciones planas y viceversa.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Figuras para decorar II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Identifica el cuerpo geométrico que se forma apartir de las platillas y enciérralo con un color.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334215" cy="1568338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15" cy="1568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8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558" w:hRule="atLeast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Explica que las relaciones entre los factores físicos (agua, suelo, aire y Sol) y biológicos (seres vivos) conforman el ecosistema y mantienen su estabilidad.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Interacciones en los ecosistemas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8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Titulo: Factores bióticos y abióticos.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¿Qué son los factores bióticos?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¿Qué son los factores abióticos? 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Observa el siguiente dibujo, y enumera los elementos bióticos y abióticos.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2435596" cy="2534004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596" cy="25340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y analiza las paginas 60 y 61 de tu libro de ciencias.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Historia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Ubica las rutas de los viajes de Cristóbal Colón, las expediciones españolas y el proceso de conquista, y los ordena cronológicamente, aplicando los términos de año, década y siglo.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Explorando nuevas tierras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Relaciona las columnas, anota en el recuadro la letra correspondiente.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884442" cy="2052445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442" cy="2052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9A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Comprende el mensaje implícito y explícito de los refranes.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Juguemos con las palabras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Anota la siguiente información en la libreta y después realiza la actividad.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Significado de refranes: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a) Explícito: Lo que dice el refrán expresamente.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b) Implícito: Lo que el refrán quiere decir, su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significado oculto que requiere reflexión y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análisis para poder interpretarse.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Interpreta y escribe el significado de los siguientes refranes: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Del árbol caído, todos hacen leña : _________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Del plato a la boca, se puede caer la sopa: __________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Árbol que nace torcido, jamas su rama endereza: _____________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Agua que no haz de beber, dejala correr: ________________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la pagina 50 y 51 de tu libro de español.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559" w:hRule="atLeast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B5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Geografía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Compara la distribución de la población rural y la urbana en México.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Formas de vida en la ciudad y en el medio rural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Responde las siguientes preguntas en tu cuaderno: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¿Cuáles son los principales problemas de las grandes ciudades?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¿Cuáles son los principales problemas de las zonas rurales?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657350" cy="1657350"/>
                  <wp:effectExtent b="0" l="0" r="0" t="0"/>
                  <wp:docPr descr="Diferencia entre zona urbana y rural - Diferenciando" id="11" name="image11.png"/>
                  <a:graphic>
                    <a:graphicData uri="http://schemas.openxmlformats.org/drawingml/2006/picture">
                      <pic:pic>
                        <pic:nvPicPr>
                          <pic:cNvPr descr="Diferencia entre zona urbana y rural - Diferenciando" id="0" name="image1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Enumera 5 diferencias notorias en la imagen de la ciudad y el campo.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la pagina 97 y 98 de tu libro de geografia.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C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558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Matemáticas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Crea imágenes a partir de ejemplos.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Como gran artista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Completa la siguiente tabla en tu cuaderno.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448381" cy="1942032"/>
                  <wp:effectExtent b="0" l="0" r="0" t="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381" cy="19420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 la pagina 62 de tu libro de matemáticas.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Comprende el mensaje implícito y explícito de los refranes.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Al buen entendedor... 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Relaciona cada refrán con su interpretación colocando la letra correcta en el recuadro.</w:t>
            </w:r>
          </w:p>
          <w:p w:rsidR="00000000" w:rsidDel="00000000" w:rsidP="00000000" w:rsidRDefault="00000000" w:rsidRPr="00000000" w14:paraId="000000D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660871" cy="1446044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871" cy="1446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732" w:hRule="atLeast"/>
        </w:trPr>
        <w:tc>
          <w:tcPr>
            <w:vMerge w:val="restart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E0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VIERNES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Crea imágenes a partir de ejemplos.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Seguimos siendo grandes artistas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Construye un cuerpo geométrico, necesitaras: una hoja blanca o de color, tijeras y pegamento. 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Puedes utilizar las siguientes bases: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038898" cy="895453"/>
                  <wp:effectExtent b="0" l="0" r="0" t="0"/>
                  <wp:docPr id="1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898" cy="8954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E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313" w:hRule="atLeast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Lee textos informativos y reconoce sus funciones y modos de organización.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Una noticia importante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Investiga una noticia actual de tu comunidad, puede ser en los periódicos locales y escribe la nota en tu cuaderno. Recuerda que los textos informativos tienen como objetivo transmitir información sobre un hecho o tema en concreto.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Describe sus habilidades personales y sus emociones para indagar situaciones novedosas de su contexto social.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¿Situaciones de sorpresa?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Reconoce las habilidades personales y sociales que consideres tienes, después dibuja en tu cuaderno una habilidad que te caracterice.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NOTA: es importante que veas las clases por la televisión diariamente para poder realizar tus actividades. </w:t>
      </w:r>
    </w:p>
    <w:p w:rsidR="00000000" w:rsidDel="00000000" w:rsidP="00000000" w:rsidRDefault="00000000" w:rsidRPr="00000000" w14:paraId="000000FD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 </w:t>
      </w:r>
    </w:p>
    <w:sectPr>
      <w:pgSz w:h="12240" w:w="15840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wentieth Century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c5591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bd0" w:val="clear"/>
    </w:tc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c5591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bd0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1.png"/><Relationship Id="rId14" Type="http://schemas.openxmlformats.org/officeDocument/2006/relationships/image" Target="media/image7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18" Type="http://schemas.openxmlformats.org/officeDocument/2006/relationships/image" Target="media/image12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